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700"/>
      </w:pPr>
      <w:r>
        <w:rPr>
          <w:rFonts w:ascii="Malgun Gothic" w:cs="Malgun Gothic" w:eastAsia="Malgun Gothic" w:hAnsi="Malgun Gothic"/>
        </w:rPr>
        <w:t xml:space="preserve"/>
      </w:r>
    </w:p>
    <w:p>
      <w:pPr>
        <w:spacing w:after="60"/>
        <w:jc w:val="center"/>
      </w:pPr>
      <w:r>
        <w:rPr>
          <w:rFonts w:ascii="Malgun Gothic" w:cs="Malgun Gothic" w:eastAsia="Malgun Gothic" w:hAnsi="Malgun Gothic"/>
          <w:b/>
          <w:bCs/>
          <w:sz w:val="38"/>
          <w:szCs w:val="38"/>
        </w:rPr>
        <w:t xml:space="preserve">아이포스처 프로 리셀러 계약서</w:t>
      </w:r>
    </w:p>
    <w:p>
      <w:pPr>
        <w:spacing w:after="40"/>
        <w:jc w:val="center"/>
      </w:pPr>
      <w:r>
        <w:rPr>
          <w:rFonts w:ascii="Arial" w:cs="Arial" w:eastAsia="Arial" w:hAnsi="Arial"/>
          <w:b/>
          <w:bCs/>
          <w:color w:val="1F3864"/>
          <w:sz w:val="28"/>
          <w:szCs w:val="28"/>
        </w:rPr>
        <w:t xml:space="preserve">iPosture Pro Reseller Agreement</w:t>
      </w:r>
    </w:p>
    <w:p>
      <w:pPr>
        <w:spacing w:after="360"/>
        <w:jc w:val="center"/>
      </w:pPr>
      <w:r>
        <w:rPr>
          <w:rFonts w:ascii="SimSun" w:cs="SimSun" w:eastAsia="SimSun" w:hAnsi="SimSun"/>
          <w:b/>
          <w:bCs/>
          <w:color w:val="1F3864"/>
          <w:sz w:val="28"/>
          <w:szCs w:val="28"/>
        </w:rPr>
        <w:t xml:space="preserve">iPosture 专业经销商协议</w:t>
      </w:r>
    </w:p>
    <w:p>
      <w:pPr>
        <w:spacing w:after="80"/>
        <w:jc w:val="center"/>
      </w:pPr>
      <w:r>
        <w:rPr>
          <w:rFonts w:ascii="Malgun Gothic" w:cs="Malgun Gothic" w:eastAsia="Malgun Gothic" w:hAnsi="Malgun Gothic"/>
        </w:rPr>
        <w:t xml:space="preserve">계약 체결일 / Date / 签约日 :  20</w:t>
      </w:r>
      <w:r>
        <w:rPr>
          <w:rFonts w:ascii="Arial" w:cs="Arial" w:eastAsia="Arial" w:hAnsi="Arial"/>
        </w:rPr>
        <w:t xml:space="preserve">__</w:t>
      </w:r>
      <w:r>
        <w:rPr>
          <w:rFonts w:ascii="Malgun Gothic" w:cs="Malgun Gothic" w:eastAsia="Malgun Gothic" w:hAnsi="Malgun Gothic"/>
        </w:rPr>
        <w:t xml:space="preserve"> .  </w:t>
      </w:r>
      <w:r>
        <w:rPr>
          <w:rFonts w:ascii="Arial" w:cs="Arial" w:eastAsia="Arial" w:hAnsi="Arial"/>
        </w:rPr>
        <w:t xml:space="preserve">__</w:t>
      </w:r>
      <w:r>
        <w:rPr>
          <w:rFonts w:ascii="Malgun Gothic" w:cs="Malgun Gothic" w:eastAsia="Malgun Gothic" w:hAnsi="Malgun Gothic"/>
        </w:rPr>
        <w:t xml:space="preserve"> .  </w:t>
      </w:r>
      <w:r>
        <w:rPr>
          <w:rFonts w:ascii="Arial" w:cs="Arial" w:eastAsia="Arial" w:hAnsi="Arial"/>
        </w:rPr>
        <w:t xml:space="preserve">__</w:t>
      </w:r>
    </w:p>
    <w:p>
      <w:pPr>
        <w:spacing w:after="500"/>
        <w:jc w:val="center"/>
      </w:pPr>
      <w:r>
        <w:rPr>
          <w:rFonts w:ascii="Malgun Gothic" w:cs="Malgun Gothic" w:eastAsia="Malgun Gothic" w:hAnsi="Malgun Gothic"/>
        </w:rPr>
        <w:t xml:space="preserve">계약 번호 / No. / 编号 :  </w:t>
      </w:r>
      <w:r>
        <w:rPr>
          <w:rFonts w:ascii="Arial" w:cs="Arial" w:eastAsia="Arial" w:hAnsi="Arial"/>
        </w:rPr>
        <w:t xml:space="preserve">______________</w:t>
      </w:r>
    </w:p>
    <w:p>
      <w:p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주식회사 윗치박스(이하 “서비스 공급자”) 및 EDUPIM GLOBAL PTE. LTD.(이하 “정산 운영사”)를 통칭하여 “갑”이라 하고, 아래 표시의 리셀러(이하 “을”)는 「아이포스처(iPosture)」 서비스의 프로 리셀러 영업·운영에 관하여 다음과 같이 계약(이하 “본 계약”)을 체결한다.</w:t>
      </w:r>
    </w:p>
    <w:p>
      <w:pPr>
        <w:spacing w:after="30" w:line="276"/>
      </w:pPr>
      <w:r>
        <w:rPr>
          <w:rFonts w:ascii="Arial" w:cs="Arial" w:eastAsia="Arial" w:hAnsi="Arial"/>
          <w:b/>
          <w:bCs/>
          <w:color w:val="8C8C8C"/>
          <w:sz w:val="14"/>
          <w:szCs w:val="14"/>
        </w:rPr>
        <w:t xml:space="preserve">EN </w:t>
      </w:r>
      <w:r>
        <w:rPr>
          <w:rFonts w:ascii="Arial" w:cs="Arial" w:eastAsia="Arial" w:hAnsi="Arial"/>
        </w:rPr>
        <w:t xml:space="preserve">WhichBox Co., Ltd. (the “Service Provider”) and EDUPIM GLOBAL PTE. LTD. (the “Settlement Operator”), collectively “Party A,” and the reseller identified below (“Party B”) hereby enter into this agreement (the “Agreement”) regarding the pro-reseller sales and operation of the iPosture service.</w:t>
      </w:r>
    </w:p>
    <w:p>
      <w:pPr>
        <w:spacing w:after="130" w:line="276"/>
      </w:pPr>
      <w:r>
        <w:rPr>
          <w:rFonts w:ascii="Arial" w:cs="Arial" w:eastAsia="Arial" w:hAnsi="Arial"/>
          <w:b/>
          <w:bCs/>
          <w:color w:val="8C8C8C"/>
          <w:sz w:val="14"/>
          <w:szCs w:val="14"/>
        </w:rPr>
        <w:t xml:space="preserve">ZH </w:t>
      </w:r>
      <w:r>
        <w:rPr>
          <w:rFonts w:ascii="SimSun" w:cs="SimSun" w:eastAsia="SimSun" w:hAnsi="SimSun"/>
        </w:rPr>
        <w:t xml:space="preserve">株式会社 WhichBox（以下简称“服务提供方”）与 EDUPIM GLOBAL PTE. LTD.（以下简称“结算运营方”），合称“甲方”，与下列经销商（以下简称“乙方”），就 iPosture 服务的专业经销商销售与运营事宜，达成如下协议（以下简称“本协议”）。</w:t>
      </w:r>
    </w:p>
    <w:p>
      <w:pPr>
        <w:spacing w:after="40" w:before="120"/>
      </w:pPr>
      <w:r>
        <w:rPr>
          <w:rFonts w:ascii="Malgun Gothic" w:cs="Malgun Gothic" w:eastAsia="Malgun Gothic" w:hAnsi="Malgun Gothic"/>
          <w:b/>
          <w:bCs/>
          <w:sz w:val="22"/>
          <w:szCs w:val="22"/>
        </w:rPr>
        <w:t xml:space="preserve">당사자 표시 / The Parties / 缔约方</w:t>
      </w:r>
    </w:p>
    <w:p>
      <w:pPr>
        <w:spacing w:after="40"/>
      </w:pPr>
      <w:r>
        <w:rPr>
          <w:rFonts w:ascii="Malgun Gothic" w:cs="Malgun Gothic" w:eastAsia="Malgun Gothic" w:hAnsi="Malgun Gothic"/>
          <w:b/>
          <w:bCs/>
          <w:color w:val="1F3864"/>
          <w:sz w:val="19"/>
          <w:szCs w:val="19"/>
        </w:rPr>
        <w:t xml:space="preserve">갑 ① 서비스 공급자 / Party A ① Service Provider / 甲方① 服务提供方</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900"/>
        <w:gridCol w:w="6460"/>
      </w:tblGrid>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상호 (서비스 공급자)</w:t>
            </w:r>
          </w:p>
          <w:p>
            <w:pPr>
              <w:spacing w:after="10"/>
              <w:jc w:val="left"/>
            </w:pPr>
            <w:r>
              <w:rPr>
                <w:rFonts w:ascii="Arial" w:cs="Arial" w:eastAsia="Arial" w:hAnsi="Arial"/>
                <w:color w:val="8C8C8C"/>
                <w:sz w:val="16"/>
                <w:szCs w:val="16"/>
              </w:rPr>
              <w:t xml:space="preserve">Company (Service Provider)</w:t>
            </w:r>
          </w:p>
          <w:p>
            <w:pPr>
              <w:spacing w:after="0"/>
              <w:jc w:val="left"/>
            </w:pPr>
            <w:r>
              <w:rPr>
                <w:rFonts w:ascii="SimSun" w:cs="SimSun" w:eastAsia="SimSun" w:hAnsi="SimSun"/>
                <w:color w:val="8C8C8C"/>
                <w:sz w:val="16"/>
                <w:szCs w:val="16"/>
              </w:rPr>
              <w:t xml:space="preserve">公司名称（服务提供方）</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Malgun Gothic" w:cs="Malgun Gothic" w:eastAsia="Malgun Gothic" w:hAnsi="Malgun Gothic"/>
                <w:color w:val="000000"/>
                <w:sz w:val="19"/>
                <w:szCs w:val="19"/>
              </w:rPr>
              <w:t xml:space="preserve">주식회사 윗치박스 (WhichBox Co., Ltd.)</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사업자등록번호</w:t>
            </w:r>
          </w:p>
          <w:p>
            <w:pPr>
              <w:spacing w:after="10"/>
              <w:jc w:val="left"/>
            </w:pPr>
            <w:r>
              <w:rPr>
                <w:rFonts w:ascii="Arial" w:cs="Arial" w:eastAsia="Arial" w:hAnsi="Arial"/>
                <w:color w:val="8C8C8C"/>
                <w:sz w:val="16"/>
                <w:szCs w:val="16"/>
              </w:rPr>
              <w:t xml:space="preserve">Business Reg. No.</w:t>
            </w:r>
          </w:p>
          <w:p>
            <w:pPr>
              <w:spacing w:after="0"/>
              <w:jc w:val="left"/>
            </w:pPr>
            <w:r>
              <w:rPr>
                <w:rFonts w:ascii="SimSun" w:cs="SimSun" w:eastAsia="SimSun" w:hAnsi="SimSun"/>
                <w:color w:val="8C8C8C"/>
                <w:sz w:val="16"/>
                <w:szCs w:val="16"/>
              </w:rPr>
              <w:t xml:space="preserve">营业执照号</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640-86-02251</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법인등록번호</w:t>
            </w:r>
          </w:p>
          <w:p>
            <w:pPr>
              <w:spacing w:after="10"/>
              <w:jc w:val="left"/>
            </w:pPr>
            <w:r>
              <w:rPr>
                <w:rFonts w:ascii="Arial" w:cs="Arial" w:eastAsia="Arial" w:hAnsi="Arial"/>
                <w:color w:val="8C8C8C"/>
                <w:sz w:val="16"/>
                <w:szCs w:val="16"/>
              </w:rPr>
              <w:t xml:space="preserve">Corporate Reg. No.</w:t>
            </w:r>
          </w:p>
          <w:p>
            <w:pPr>
              <w:spacing w:after="0"/>
              <w:jc w:val="left"/>
            </w:pPr>
            <w:r>
              <w:rPr>
                <w:rFonts w:ascii="SimSun" w:cs="SimSun" w:eastAsia="SimSun" w:hAnsi="SimSun"/>
                <w:color w:val="8C8C8C"/>
                <w:sz w:val="16"/>
                <w:szCs w:val="16"/>
              </w:rPr>
              <w:t xml:space="preserve">法人登记号</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285011-0463541</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대표자</w:t>
            </w:r>
          </w:p>
          <w:p>
            <w:pPr>
              <w:spacing w:after="10"/>
              <w:jc w:val="left"/>
            </w:pPr>
            <w:r>
              <w:rPr>
                <w:rFonts w:ascii="Arial" w:cs="Arial" w:eastAsia="Arial" w:hAnsi="Arial"/>
                <w:color w:val="8C8C8C"/>
                <w:sz w:val="16"/>
                <w:szCs w:val="16"/>
              </w:rPr>
              <w:t xml:space="preserve">Representative</w:t>
            </w:r>
          </w:p>
          <w:p>
            <w:pPr>
              <w:spacing w:after="0"/>
              <w:jc w:val="left"/>
            </w:pPr>
            <w:r>
              <w:rPr>
                <w:rFonts w:ascii="SimSun" w:cs="SimSun" w:eastAsia="SimSun" w:hAnsi="SimSun"/>
                <w:color w:val="8C8C8C"/>
                <w:sz w:val="16"/>
                <w:szCs w:val="16"/>
              </w:rPr>
              <w:t xml:space="preserve">代表</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Malgun Gothic" w:cs="Malgun Gothic" w:eastAsia="Malgun Gothic" w:hAnsi="Malgun Gothic"/>
                <w:color w:val="000000"/>
                <w:sz w:val="19"/>
                <w:szCs w:val="19"/>
              </w:rPr>
              <w:t xml:space="preserve">김철원 (KIM CHULWON)</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본점 소재지</w:t>
            </w:r>
          </w:p>
          <w:p>
            <w:pPr>
              <w:spacing w:after="10"/>
              <w:jc w:val="left"/>
            </w:pPr>
            <w:r>
              <w:rPr>
                <w:rFonts w:ascii="Arial" w:cs="Arial" w:eastAsia="Arial" w:hAnsi="Arial"/>
                <w:color w:val="8C8C8C"/>
                <w:sz w:val="16"/>
                <w:szCs w:val="16"/>
              </w:rPr>
              <w:t xml:space="preserve">Head Office</w:t>
            </w:r>
          </w:p>
          <w:p>
            <w:pPr>
              <w:spacing w:after="0"/>
              <w:jc w:val="left"/>
            </w:pPr>
            <w:r>
              <w:rPr>
                <w:rFonts w:ascii="SimSun" w:cs="SimSun" w:eastAsia="SimSun" w:hAnsi="SimSun"/>
                <w:color w:val="8C8C8C"/>
                <w:sz w:val="16"/>
                <w:szCs w:val="16"/>
              </w:rPr>
              <w:t xml:space="preserve">总部地址</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Malgun Gothic" w:cs="Malgun Gothic" w:eastAsia="Malgun Gothic" w:hAnsi="Malgun Gothic"/>
                <w:color w:val="000000"/>
                <w:sz w:val="19"/>
                <w:szCs w:val="19"/>
              </w:rPr>
              <w:t xml:space="preserve">충청남도 천안시 서북구 불당14로 48, 5층 (불당동)</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역할</w:t>
            </w:r>
          </w:p>
          <w:p>
            <w:pPr>
              <w:spacing w:after="10"/>
              <w:jc w:val="left"/>
            </w:pPr>
            <w:r>
              <w:rPr>
                <w:rFonts w:ascii="Arial" w:cs="Arial" w:eastAsia="Arial" w:hAnsi="Arial"/>
                <w:color w:val="8C8C8C"/>
                <w:sz w:val="16"/>
                <w:szCs w:val="16"/>
              </w:rPr>
              <w:t xml:space="preserve">Role</w:t>
            </w:r>
          </w:p>
          <w:p>
            <w:pPr>
              <w:spacing w:after="0"/>
              <w:jc w:val="left"/>
            </w:pPr>
            <w:r>
              <w:rPr>
                <w:rFonts w:ascii="SimSun" w:cs="SimSun" w:eastAsia="SimSun" w:hAnsi="SimSun"/>
                <w:color w:val="8C8C8C"/>
                <w:sz w:val="16"/>
                <w:szCs w:val="16"/>
              </w:rPr>
              <w:t xml:space="preserve">角色</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color w:val="000000"/>
                <w:sz w:val="19"/>
                <w:szCs w:val="19"/>
              </w:rPr>
              <w:t xml:space="preserve">「아이포스처(iPosture)」 서비스·플랫폼 제공 및 IP 보유 주체</w:t>
            </w:r>
          </w:p>
          <w:p>
            <w:pPr>
              <w:spacing w:after="10"/>
              <w:jc w:val="left"/>
            </w:pPr>
            <w:r>
              <w:rPr>
                <w:rFonts w:ascii="Arial" w:cs="Arial" w:eastAsia="Arial" w:hAnsi="Arial"/>
                <w:color w:val="8C8C8C"/>
                <w:sz w:val="17"/>
                <w:szCs w:val="17"/>
              </w:rPr>
              <w:t xml:space="preserve">Provider of the iPosture service/platform and holder of IP</w:t>
            </w:r>
          </w:p>
          <w:p>
            <w:pPr>
              <w:spacing w:after="0"/>
              <w:jc w:val="left"/>
            </w:pPr>
            <w:r>
              <w:rPr>
                <w:rFonts w:ascii="SimSun" w:cs="SimSun" w:eastAsia="SimSun" w:hAnsi="SimSun"/>
                <w:color w:val="8C8C8C"/>
                <w:sz w:val="17"/>
                <w:szCs w:val="17"/>
              </w:rPr>
              <w:t xml:space="preserve">iPosture 服务/平台提供方及知识产权持有人</w:t>
            </w:r>
          </w:p>
        </w:tc>
      </w:tr>
    </w:tbl>
    <w:p>
      <w:pPr>
        <w:spacing w:after="40" w:before="120"/>
      </w:pPr>
      <w:r>
        <w:rPr>
          <w:rFonts w:ascii="Malgun Gothic" w:cs="Malgun Gothic" w:eastAsia="Malgun Gothic" w:hAnsi="Malgun Gothic"/>
          <w:b/>
          <w:bCs/>
          <w:color w:val="1F3864"/>
          <w:sz w:val="19"/>
          <w:szCs w:val="19"/>
        </w:rPr>
        <w:t xml:space="preserve">갑 ② 정산 운영사 / Party A ② Settlement Operator / 甲方② 结算运营方</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900"/>
        <w:gridCol w:w="6460"/>
      </w:tblGrid>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상호 (정산 운영사)</w:t>
            </w:r>
          </w:p>
          <w:p>
            <w:pPr>
              <w:spacing w:after="10"/>
              <w:jc w:val="left"/>
            </w:pPr>
            <w:r>
              <w:rPr>
                <w:rFonts w:ascii="Arial" w:cs="Arial" w:eastAsia="Arial" w:hAnsi="Arial"/>
                <w:color w:val="8C8C8C"/>
                <w:sz w:val="16"/>
                <w:szCs w:val="16"/>
              </w:rPr>
              <w:t xml:space="preserve">Company (Settlement Operator)</w:t>
            </w:r>
          </w:p>
          <w:p>
            <w:pPr>
              <w:spacing w:after="0"/>
              <w:jc w:val="left"/>
            </w:pPr>
            <w:r>
              <w:rPr>
                <w:rFonts w:ascii="SimSun" w:cs="SimSun" w:eastAsia="SimSun" w:hAnsi="SimSun"/>
                <w:color w:val="8C8C8C"/>
                <w:sz w:val="16"/>
                <w:szCs w:val="16"/>
              </w:rPr>
              <w:t xml:space="preserve">公司名称（结算运营方）</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EDUPIM GLOBAL PTE. LTD.</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UEN (사업자번호)</w:t>
            </w:r>
          </w:p>
          <w:p>
            <w:pPr>
              <w:spacing w:after="10"/>
              <w:jc w:val="left"/>
            </w:pPr>
            <w:r>
              <w:rPr>
                <w:rFonts w:ascii="Arial" w:cs="Arial" w:eastAsia="Arial" w:hAnsi="Arial"/>
                <w:color w:val="8C8C8C"/>
                <w:sz w:val="16"/>
                <w:szCs w:val="16"/>
              </w:rPr>
              <w:t xml:space="preserve">UEN</w:t>
            </w:r>
          </w:p>
          <w:p>
            <w:pPr>
              <w:spacing w:after="0"/>
              <w:jc w:val="left"/>
            </w:pPr>
            <w:r>
              <w:rPr>
                <w:rFonts w:ascii="SimSun" w:cs="SimSun" w:eastAsia="SimSun" w:hAnsi="SimSun"/>
                <w:color w:val="8C8C8C"/>
                <w:sz w:val="16"/>
                <w:szCs w:val="16"/>
              </w:rPr>
              <w:t xml:space="preserve">统一企业号 (UEN)</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202552251N</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설립일</w:t>
            </w:r>
          </w:p>
          <w:p>
            <w:pPr>
              <w:spacing w:after="10"/>
              <w:jc w:val="left"/>
            </w:pPr>
            <w:r>
              <w:rPr>
                <w:rFonts w:ascii="Arial" w:cs="Arial" w:eastAsia="Arial" w:hAnsi="Arial"/>
                <w:color w:val="8C8C8C"/>
                <w:sz w:val="16"/>
                <w:szCs w:val="16"/>
              </w:rPr>
              <w:t xml:space="preserve">Incorporation Date</w:t>
            </w:r>
          </w:p>
          <w:p>
            <w:pPr>
              <w:spacing w:after="0"/>
              <w:jc w:val="left"/>
            </w:pPr>
            <w:r>
              <w:rPr>
                <w:rFonts w:ascii="SimSun" w:cs="SimSun" w:eastAsia="SimSun" w:hAnsi="SimSun"/>
                <w:color w:val="8C8C8C"/>
                <w:sz w:val="16"/>
                <w:szCs w:val="16"/>
              </w:rPr>
              <w:t xml:space="preserve">成立日期</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2025. 11. 25.</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대표이사 (Director)</w:t>
            </w:r>
          </w:p>
          <w:p>
            <w:pPr>
              <w:spacing w:after="10"/>
              <w:jc w:val="left"/>
            </w:pPr>
            <w:r>
              <w:rPr>
                <w:rFonts w:ascii="Arial" w:cs="Arial" w:eastAsia="Arial" w:hAnsi="Arial"/>
                <w:color w:val="8C8C8C"/>
                <w:sz w:val="16"/>
                <w:szCs w:val="16"/>
              </w:rPr>
              <w:t xml:space="preserve">Director</w:t>
            </w:r>
          </w:p>
          <w:p>
            <w:pPr>
              <w:spacing w:after="0"/>
              <w:jc w:val="left"/>
            </w:pPr>
            <w:r>
              <w:rPr>
                <w:rFonts w:ascii="SimSun" w:cs="SimSun" w:eastAsia="SimSun" w:hAnsi="SimSun"/>
                <w:color w:val="8C8C8C"/>
                <w:sz w:val="16"/>
                <w:szCs w:val="16"/>
              </w:rPr>
              <w:t xml:space="preserve">董事</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Malgun Gothic" w:cs="Malgun Gothic" w:eastAsia="Malgun Gothic" w:hAnsi="Malgun Gothic"/>
                <w:color w:val="000000"/>
                <w:sz w:val="19"/>
                <w:szCs w:val="19"/>
              </w:rPr>
              <w:t xml:space="preserve">김철원 (KIM CHULWON)</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등록 주소</w:t>
            </w:r>
          </w:p>
          <w:p>
            <w:pPr>
              <w:spacing w:after="10"/>
              <w:jc w:val="left"/>
            </w:pPr>
            <w:r>
              <w:rPr>
                <w:rFonts w:ascii="Arial" w:cs="Arial" w:eastAsia="Arial" w:hAnsi="Arial"/>
                <w:color w:val="8C8C8C"/>
                <w:sz w:val="16"/>
                <w:szCs w:val="16"/>
              </w:rPr>
              <w:t xml:space="preserve">Registered Address</w:t>
            </w:r>
          </w:p>
          <w:p>
            <w:pPr>
              <w:spacing w:after="0"/>
              <w:jc w:val="left"/>
            </w:pPr>
            <w:r>
              <w:rPr>
                <w:rFonts w:ascii="SimSun" w:cs="SimSun" w:eastAsia="SimSun" w:hAnsi="SimSun"/>
                <w:color w:val="8C8C8C"/>
                <w:sz w:val="16"/>
                <w:szCs w:val="16"/>
              </w:rPr>
              <w:t xml:space="preserve">注册地址</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111 Somerset Road, #06-01E, 111 Somerset, Singapore 238164</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역할</w:t>
            </w:r>
          </w:p>
          <w:p>
            <w:pPr>
              <w:spacing w:after="10"/>
              <w:jc w:val="left"/>
            </w:pPr>
            <w:r>
              <w:rPr>
                <w:rFonts w:ascii="Arial" w:cs="Arial" w:eastAsia="Arial" w:hAnsi="Arial"/>
                <w:color w:val="8C8C8C"/>
                <w:sz w:val="16"/>
                <w:szCs w:val="16"/>
              </w:rPr>
              <w:t xml:space="preserve">Role</w:t>
            </w:r>
          </w:p>
          <w:p>
            <w:pPr>
              <w:spacing w:after="0"/>
              <w:jc w:val="left"/>
            </w:pPr>
            <w:r>
              <w:rPr>
                <w:rFonts w:ascii="SimSun" w:cs="SimSun" w:eastAsia="SimSun" w:hAnsi="SimSun"/>
                <w:color w:val="8C8C8C"/>
                <w:sz w:val="16"/>
                <w:szCs w:val="16"/>
              </w:rPr>
              <w:t xml:space="preserve">角色</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color w:val="000000"/>
                <w:sz w:val="19"/>
                <w:szCs w:val="19"/>
              </w:rPr>
              <w:t xml:space="preserve">「에듀핌 캠퍼스(EduPim Campus)」 결제·정산 시스템 운영 주체</w:t>
            </w:r>
          </w:p>
          <w:p>
            <w:pPr>
              <w:spacing w:after="10"/>
              <w:jc w:val="left"/>
            </w:pPr>
            <w:r>
              <w:rPr>
                <w:rFonts w:ascii="Arial" w:cs="Arial" w:eastAsia="Arial" w:hAnsi="Arial"/>
                <w:color w:val="8C8C8C"/>
                <w:sz w:val="17"/>
                <w:szCs w:val="17"/>
              </w:rPr>
              <w:t xml:space="preserve">Operator of the EduPim Campus payment/settlement system</w:t>
            </w:r>
          </w:p>
          <w:p>
            <w:pPr>
              <w:spacing w:after="0"/>
              <w:jc w:val="left"/>
            </w:pPr>
            <w:r>
              <w:rPr>
                <w:rFonts w:ascii="SimSun" w:cs="SimSun" w:eastAsia="SimSun" w:hAnsi="SimSun"/>
                <w:color w:val="8C8C8C"/>
                <w:sz w:val="17"/>
                <w:szCs w:val="17"/>
              </w:rPr>
              <w:t xml:space="preserve">EduPim Campus 支付/结算系统运营方</w:t>
            </w:r>
          </w:p>
        </w:tc>
      </w:tr>
    </w:tbl>
    <w:p>
      <w:pPr>
        <w:spacing w:after="40" w:before="120"/>
      </w:pPr>
      <w:r>
        <w:rPr>
          <w:rFonts w:ascii="Malgun Gothic" w:cs="Malgun Gothic" w:eastAsia="Malgun Gothic" w:hAnsi="Malgun Gothic"/>
          <w:b/>
          <w:bCs/>
          <w:color w:val="1F3864"/>
          <w:sz w:val="19"/>
          <w:szCs w:val="19"/>
        </w:rPr>
        <w:t xml:space="preserve">을 프로 리셀러 / Party B Pro Reseller / 乙方 专业经销商</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900"/>
        <w:gridCol w:w="6460"/>
      </w:tblGrid>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상호 (리셀러)</w:t>
            </w:r>
          </w:p>
          <w:p>
            <w:pPr>
              <w:spacing w:after="10"/>
              <w:jc w:val="left"/>
            </w:pPr>
            <w:r>
              <w:rPr>
                <w:rFonts w:ascii="Arial" w:cs="Arial" w:eastAsia="Arial" w:hAnsi="Arial"/>
                <w:color w:val="8C8C8C"/>
                <w:sz w:val="16"/>
                <w:szCs w:val="16"/>
              </w:rPr>
              <w:t xml:space="preserve">Company (Reseller)</w:t>
            </w:r>
          </w:p>
          <w:p>
            <w:pPr>
              <w:spacing w:after="0"/>
              <w:jc w:val="left"/>
            </w:pPr>
            <w:r>
              <w:rPr>
                <w:rFonts w:ascii="SimSun" w:cs="SimSun" w:eastAsia="SimSun" w:hAnsi="SimSun"/>
                <w:color w:val="8C8C8C"/>
                <w:sz w:val="16"/>
                <w:szCs w:val="16"/>
              </w:rPr>
              <w:t xml:space="preserve">公司名称（经销商）</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____________________</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사업자등록번호</w:t>
            </w:r>
          </w:p>
          <w:p>
            <w:pPr>
              <w:spacing w:after="10"/>
              <w:jc w:val="left"/>
            </w:pPr>
            <w:r>
              <w:rPr>
                <w:rFonts w:ascii="Arial" w:cs="Arial" w:eastAsia="Arial" w:hAnsi="Arial"/>
                <w:color w:val="8C8C8C"/>
                <w:sz w:val="16"/>
                <w:szCs w:val="16"/>
              </w:rPr>
              <w:t xml:space="preserve">Business Reg. No.</w:t>
            </w:r>
          </w:p>
          <w:p>
            <w:pPr>
              <w:spacing w:after="0"/>
              <w:jc w:val="left"/>
            </w:pPr>
            <w:r>
              <w:rPr>
                <w:rFonts w:ascii="SimSun" w:cs="SimSun" w:eastAsia="SimSun" w:hAnsi="SimSun"/>
                <w:color w:val="8C8C8C"/>
                <w:sz w:val="16"/>
                <w:szCs w:val="16"/>
              </w:rPr>
              <w:t xml:space="preserve">营业执照号</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______________</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대표자</w:t>
            </w:r>
          </w:p>
          <w:p>
            <w:pPr>
              <w:spacing w:after="10"/>
              <w:jc w:val="left"/>
            </w:pPr>
            <w:r>
              <w:rPr>
                <w:rFonts w:ascii="Arial" w:cs="Arial" w:eastAsia="Arial" w:hAnsi="Arial"/>
                <w:color w:val="8C8C8C"/>
                <w:sz w:val="16"/>
                <w:szCs w:val="16"/>
              </w:rPr>
              <w:t xml:space="preserve">Representative</w:t>
            </w:r>
          </w:p>
          <w:p>
            <w:pPr>
              <w:spacing w:after="0"/>
              <w:jc w:val="left"/>
            </w:pPr>
            <w:r>
              <w:rPr>
                <w:rFonts w:ascii="SimSun" w:cs="SimSun" w:eastAsia="SimSun" w:hAnsi="SimSun"/>
                <w:color w:val="8C8C8C"/>
                <w:sz w:val="16"/>
                <w:szCs w:val="16"/>
              </w:rPr>
              <w:t xml:space="preserve">代表</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______________</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주소</w:t>
            </w:r>
          </w:p>
          <w:p>
            <w:pPr>
              <w:spacing w:after="10"/>
              <w:jc w:val="left"/>
            </w:pPr>
            <w:r>
              <w:rPr>
                <w:rFonts w:ascii="Arial" w:cs="Arial" w:eastAsia="Arial" w:hAnsi="Arial"/>
                <w:color w:val="8C8C8C"/>
                <w:sz w:val="16"/>
                <w:szCs w:val="16"/>
              </w:rPr>
              <w:t xml:space="preserve">Address</w:t>
            </w:r>
          </w:p>
          <w:p>
            <w:pPr>
              <w:spacing w:after="0"/>
              <w:jc w:val="left"/>
            </w:pPr>
            <w:r>
              <w:rPr>
                <w:rFonts w:ascii="SimSun" w:cs="SimSun" w:eastAsia="SimSun" w:hAnsi="SimSun"/>
                <w:color w:val="8C8C8C"/>
                <w:sz w:val="16"/>
                <w:szCs w:val="16"/>
              </w:rPr>
              <w:t xml:space="preserve">地址</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________________________________</w:t>
            </w:r>
          </w:p>
        </w:tc>
      </w:tr>
      <w:tr>
        <w:tc>
          <w:tcPr>
            <w:tcW w:type="dxa" w:w="29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left"/>
            </w:pPr>
            <w:r>
              <w:rPr>
                <w:rFonts w:ascii="Malgun Gothic" w:cs="Malgun Gothic" w:eastAsia="Malgun Gothic" w:hAnsi="Malgun Gothic"/>
                <w:b/>
                <w:bCs/>
                <w:color w:val="000000"/>
                <w:sz w:val="19"/>
                <w:szCs w:val="19"/>
              </w:rPr>
              <w:t xml:space="preserve">연락처 / 이메일</w:t>
            </w:r>
          </w:p>
          <w:p>
            <w:pPr>
              <w:spacing w:after="10"/>
              <w:jc w:val="left"/>
            </w:pPr>
            <w:r>
              <w:rPr>
                <w:rFonts w:ascii="Arial" w:cs="Arial" w:eastAsia="Arial" w:hAnsi="Arial"/>
                <w:color w:val="8C8C8C"/>
                <w:sz w:val="16"/>
                <w:szCs w:val="16"/>
              </w:rPr>
              <w:t xml:space="preserve">Contact / Email</w:t>
            </w:r>
          </w:p>
          <w:p>
            <w:pPr>
              <w:spacing w:after="0"/>
              <w:jc w:val="left"/>
            </w:pPr>
            <w:r>
              <w:rPr>
                <w:rFonts w:ascii="SimSun" w:cs="SimSun" w:eastAsia="SimSun" w:hAnsi="SimSun"/>
                <w:color w:val="8C8C8C"/>
                <w:sz w:val="16"/>
                <w:szCs w:val="16"/>
              </w:rPr>
              <w:t xml:space="preserve">联系方式 / 邮箱</w:t>
            </w:r>
          </w:p>
        </w:tc>
        <w:tc>
          <w:tcPr>
            <w:tcW w:type="dxa" w:w="64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color w:val="000000"/>
                <w:sz w:val="19"/>
                <w:szCs w:val="19"/>
              </w:rPr>
              <w:t xml:space="preserve">______________</w:t>
            </w:r>
          </w:p>
        </w:tc>
      </w:tr>
    </w:tbl>
    <w:p>
      <w:r>
        <w:br w:type="page"/>
      </w:r>
    </w:p>
    <w:p>
      <w:pPr>
        <w:spacing w:after="20" w:before="260"/>
      </w:pPr>
      <w:r>
        <w:rPr>
          <w:rFonts w:ascii="Malgun Gothic" w:cs="Malgun Gothic" w:eastAsia="Malgun Gothic" w:hAnsi="Malgun Gothic"/>
          <w:b/>
          <w:bCs/>
          <w:sz w:val="24"/>
          <w:szCs w:val="24"/>
        </w:rPr>
        <w:t xml:space="preserve">제1조 (목적)</w:t>
      </w:r>
    </w:p>
    <w:p>
      <w:pPr>
        <w:spacing w:after="20"/>
      </w:pPr>
      <w:r>
        <w:rPr>
          <w:rFonts w:ascii="Arial" w:cs="Arial" w:eastAsia="Arial" w:hAnsi="Arial"/>
          <w:b/>
          <w:bCs/>
          <w:color w:val="1F3864"/>
          <w:sz w:val="22"/>
          <w:szCs w:val="22"/>
        </w:rPr>
        <w:t xml:space="preserve">Article 1 (Purpose)</w:t>
      </w:r>
    </w:p>
    <w:p>
      <w:pPr>
        <w:spacing w:after="110"/>
      </w:pPr>
      <w:r>
        <w:rPr>
          <w:rFonts w:ascii="SimSun" w:cs="SimSun" w:eastAsia="SimSun" w:hAnsi="SimSun"/>
          <w:b/>
          <w:bCs/>
          <w:color w:val="1F3864"/>
          <w:sz w:val="22"/>
          <w:szCs w:val="22"/>
        </w:rPr>
        <w:t xml:space="preserve">第1条（目的）</w:t>
      </w:r>
    </w:p>
    <w:p>
      <w:p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본 계약은 “을”이 “갑”의 「아이포스처」 서비스를 트레이너 및 센터(PAC)를 대상으로 영업·판매·운영함에 있어, 양 당사자의 역할·권한, 결제 및 정산 구조, 가격·수익 구조, 환불 규정 및 상호 권리·의무를 명확히 정함을 목적으로 한다.</w:t>
      </w:r>
    </w:p>
    <w:p>
      <w:pPr>
        <w:spacing w:after="30" w:line="276"/>
      </w:pPr>
      <w:r>
        <w:rPr>
          <w:rFonts w:ascii="Arial" w:cs="Arial" w:eastAsia="Arial" w:hAnsi="Arial"/>
          <w:b/>
          <w:bCs/>
          <w:color w:val="8C8C8C"/>
          <w:sz w:val="14"/>
          <w:szCs w:val="14"/>
        </w:rPr>
        <w:t xml:space="preserve">EN </w:t>
      </w:r>
      <w:r>
        <w:rPr>
          <w:rFonts w:ascii="Arial" w:cs="Arial" w:eastAsia="Arial" w:hAnsi="Arial"/>
        </w:rPr>
        <w:t xml:space="preserve">The purpose of this Agreement is to clearly define the parties’ roles and authority, the payment and settlement structure, the pricing and revenue structure, the refund policy, and their mutual rights and obligations in connection with Party B’s sales, marketing, and operation of Party A’s iPosture service to trainers and centers (PAC).</w:t>
      </w:r>
    </w:p>
    <w:p>
      <w:pPr>
        <w:spacing w:after="130" w:line="276"/>
      </w:pPr>
      <w:r>
        <w:rPr>
          <w:rFonts w:ascii="Arial" w:cs="Arial" w:eastAsia="Arial" w:hAnsi="Arial"/>
          <w:b/>
          <w:bCs/>
          <w:color w:val="8C8C8C"/>
          <w:sz w:val="14"/>
          <w:szCs w:val="14"/>
        </w:rPr>
        <w:t xml:space="preserve">ZH </w:t>
      </w:r>
      <w:r>
        <w:rPr>
          <w:rFonts w:ascii="SimSun" w:cs="SimSun" w:eastAsia="SimSun" w:hAnsi="SimSun"/>
        </w:rPr>
        <w:t xml:space="preserve">本协议旨在明确约定：乙方面向教练及中心（PAC）销售、推广及运营甲方 iPosture 服务过程中，双方的角色与权限、支付与结算结构、价格与收益结构、退款规定以及相互的权利与义务。</w:t>
      </w:r>
    </w:p>
    <w:p>
      <w:pPr>
        <w:spacing w:after="20" w:before="260"/>
      </w:pPr>
      <w:r>
        <w:rPr>
          <w:rFonts w:ascii="Malgun Gothic" w:cs="Malgun Gothic" w:eastAsia="Malgun Gothic" w:hAnsi="Malgun Gothic"/>
          <w:b/>
          <w:bCs/>
          <w:sz w:val="24"/>
          <w:szCs w:val="24"/>
        </w:rPr>
        <w:t xml:space="preserve">제2조 (용어의 정의)</w:t>
      </w:r>
    </w:p>
    <w:p>
      <w:pPr>
        <w:spacing w:after="20"/>
      </w:pPr>
      <w:r>
        <w:rPr>
          <w:rFonts w:ascii="Arial" w:cs="Arial" w:eastAsia="Arial" w:hAnsi="Arial"/>
          <w:b/>
          <w:bCs/>
          <w:color w:val="1F3864"/>
          <w:sz w:val="22"/>
          <w:szCs w:val="22"/>
        </w:rPr>
        <w:t xml:space="preserve">Article 2 (Definitions)</w:t>
      </w:r>
    </w:p>
    <w:p>
      <w:pPr>
        <w:spacing w:after="110"/>
      </w:pPr>
      <w:r>
        <w:rPr>
          <w:rFonts w:ascii="SimSun" w:cs="SimSun" w:eastAsia="SimSun" w:hAnsi="SimSun"/>
          <w:b/>
          <w:bCs/>
          <w:color w:val="1F3864"/>
          <w:sz w:val="22"/>
          <w:szCs w:val="22"/>
        </w:rPr>
        <w:t xml:space="preserve">第2条（术语定义）</w:t>
      </w:r>
    </w:p>
    <w:p>
      <w:p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본 계약에서 사용하는 용어의 정의는 다음과 같다.</w:t>
      </w:r>
    </w:p>
    <w:p>
      <w:pPr>
        <w:spacing w:after="30" w:line="276"/>
      </w:pPr>
      <w:r>
        <w:rPr>
          <w:rFonts w:ascii="Arial" w:cs="Arial" w:eastAsia="Arial" w:hAnsi="Arial"/>
          <w:b/>
          <w:bCs/>
          <w:color w:val="8C8C8C"/>
          <w:sz w:val="14"/>
          <w:szCs w:val="14"/>
        </w:rPr>
        <w:t xml:space="preserve">EN </w:t>
      </w:r>
      <w:r>
        <w:rPr>
          <w:rFonts w:ascii="Arial" w:cs="Arial" w:eastAsia="Arial" w:hAnsi="Arial"/>
        </w:rPr>
        <w:t xml:space="preserve">The terms used in this Agreement are defined as follows.</w:t>
      </w:r>
    </w:p>
    <w:p>
      <w:pPr>
        <w:spacing w:after="130" w:line="276"/>
      </w:pPr>
      <w:r>
        <w:rPr>
          <w:rFonts w:ascii="Arial" w:cs="Arial" w:eastAsia="Arial" w:hAnsi="Arial"/>
          <w:b/>
          <w:bCs/>
          <w:color w:val="8C8C8C"/>
          <w:sz w:val="14"/>
          <w:szCs w:val="14"/>
        </w:rPr>
        <w:t xml:space="preserve">ZH </w:t>
      </w:r>
      <w:r>
        <w:rPr>
          <w:rFonts w:ascii="SimSun" w:cs="SimSun" w:eastAsia="SimSun" w:hAnsi="SimSun"/>
        </w:rPr>
        <w:t xml:space="preserve">本协议所用术语定义如下。</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“아이포스처(iPosture)”란 “갑”이 제공하는 트레이너·센터 대상 서비스 제공 플랫폼을 말한다.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“iPosture” means the service delivery platform provided by Party A for trainers and centers.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“iPosture”指甲方为教练及中心提供的服务交付平台。</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“에듀핌 캠퍼스(EduPim Campus)”란 모든 결제 및 정산이 처리되는 기준 시스템으로, “정산 운영사”가 운영한다.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“EduPim Campus” means the reference system through which all payments and settlements are processed, operated by the Settlement Operator.</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“EduPim Campus”指处理所有支付与结算的基准系统，由结算运营方运营。</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“PAC”란 「아이포스처 관리자 계정」을 의미하며, 트레이너 계정 생성·관리, 공용 용량 보유·배분, 센터·리셀러 단위 데이터 관리 기능을 포함한다.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“PAC” means the iPosture administrator account, including creating and managing trainer accounts, holding and allocating shared storage, and managing data by center and reseller.</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“PAC”指 iPosture 管理员账户，包括创建与管理教练账户、持有与分配共享容量、以及按中心和经销商管理数据等功能。</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④ </w:t>
      </w:r>
      <w:r>
        <w:rPr>
          <w:rFonts w:ascii="Malgun Gothic" w:cs="Malgun Gothic" w:eastAsia="Malgun Gothic" w:hAnsi="Malgun Gothic"/>
        </w:rPr>
        <w:t xml:space="preserve">“트레이너”란 “을” 또는 센터를 통해 「아이포스처」 서비스를 이용하는 개별 이용자를 말한다.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④ </w:t>
      </w:r>
      <w:r>
        <w:rPr>
          <w:rFonts w:ascii="Arial" w:cs="Arial" w:eastAsia="Arial" w:hAnsi="Arial"/>
        </w:rPr>
        <w:t xml:space="preserve">“Trainer” means an individual user who uses the iPosture service through Party B or a center.</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④ </w:t>
      </w:r>
      <w:r>
        <w:rPr>
          <w:rFonts w:ascii="SimSun" w:cs="SimSun" w:eastAsia="SimSun" w:hAnsi="SimSun"/>
        </w:rPr>
        <w:t xml:space="preserve">“教练”指通过乙方或中心使用 iPosture 服务的个人用户。</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⑤ </w:t>
      </w:r>
      <w:r>
        <w:rPr>
          <w:rFonts w:ascii="Malgun Gothic" w:cs="Malgun Gothic" w:eastAsia="Malgun Gothic" w:hAnsi="Malgun Gothic"/>
        </w:rPr>
        <w:t xml:space="preserve">“센터”란 PAC 계약을 체결하여 다수의 트레이너 계정을 운영하는 사업 단위를 말한다.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⑤ </w:t>
      </w:r>
      <w:r>
        <w:rPr>
          <w:rFonts w:ascii="Arial" w:cs="Arial" w:eastAsia="Arial" w:hAnsi="Arial"/>
        </w:rPr>
        <w:t xml:space="preserve">“Center” means a business unit that enters into a PAC contract and operates multiple trainer accounts.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⑤ </w:t>
      </w:r>
      <w:r>
        <w:rPr>
          <w:rFonts w:ascii="SimSun" w:cs="SimSun" w:eastAsia="SimSun" w:hAnsi="SimSun"/>
        </w:rPr>
        <w:t xml:space="preserve">“中心”指签订 PAC 合同并运营多个教练账户的经营单位。</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⑥ </w:t>
      </w:r>
      <w:r>
        <w:rPr>
          <w:rFonts w:ascii="Malgun Gothic" w:cs="Malgun Gothic" w:eastAsia="Malgun Gothic" w:hAnsi="Malgun Gothic"/>
        </w:rPr>
        <w:t xml:space="preserve">“강사 계정”이란 “을”이 에듀핌 캠퍼스에서 부여받아 결제 내역·계약 내역·수익 및 정산 예정 금액을 실시간 확인하는 리셀러 전용 계정을 말한다.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⑥ </w:t>
      </w:r>
      <w:r>
        <w:rPr>
          <w:rFonts w:ascii="Arial" w:cs="Arial" w:eastAsia="Arial" w:hAnsi="Arial"/>
        </w:rPr>
        <w:t xml:space="preserve">“Instructor Account” means the reseller-dedicated account granted to Party B on EduPim Campus, through which payment records, contract records, revenue, and scheduled settlement amounts can be viewed in real time.</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⑥ </w:t>
      </w:r>
      <w:r>
        <w:rPr>
          <w:rFonts w:ascii="SimSun" w:cs="SimSun" w:eastAsia="SimSun" w:hAnsi="SimSun"/>
        </w:rPr>
        <w:t xml:space="preserve">“讲师账户”指甲方在 EduPim Campus 上授予乙方的经销商专用账户，乙方可借此实时查看支付记录、合同记录、收益及预定结算金额。</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⑦ </w:t>
      </w:r>
      <w:r>
        <w:rPr>
          <w:rFonts w:ascii="Malgun Gothic" w:cs="Malgun Gothic" w:eastAsia="Malgun Gothic" w:hAnsi="Malgun Gothic"/>
        </w:rPr>
        <w:t xml:space="preserve">“정산”이란 에듀핌 캠퍼스 시스템을 통해 “을”의 수익을 산정·지급하는 절차를 말한다.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⑦ </w:t>
      </w:r>
      <w:r>
        <w:rPr>
          <w:rFonts w:ascii="Arial" w:cs="Arial" w:eastAsia="Arial" w:hAnsi="Arial"/>
        </w:rPr>
        <w:t xml:space="preserve">“Settlement” means the procedure for calculating and paying Party B’s revenue through the EduPim Campus system.</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⑦ </w:t>
      </w:r>
      <w:r>
        <w:rPr>
          <w:rFonts w:ascii="SimSun" w:cs="SimSun" w:eastAsia="SimSun" w:hAnsi="SimSun"/>
        </w:rPr>
        <w:t xml:space="preserve">“结算”指通过 EduPim Campus 系统核算并支付乙方收益的程序。</w:t>
      </w:r>
    </w:p>
    <w:p>
      <w:pPr>
        <w:spacing w:after="20" w:before="260"/>
      </w:pPr>
      <w:r>
        <w:rPr>
          <w:rFonts w:ascii="Malgun Gothic" w:cs="Malgun Gothic" w:eastAsia="Malgun Gothic" w:hAnsi="Malgun Gothic"/>
          <w:b/>
          <w:bCs/>
          <w:sz w:val="24"/>
          <w:szCs w:val="24"/>
        </w:rPr>
        <w:t xml:space="preserve">제3조 (리셀러의 지정 및 지위)</w:t>
      </w:r>
    </w:p>
    <w:p>
      <w:pPr>
        <w:spacing w:after="20"/>
      </w:pPr>
      <w:r>
        <w:rPr>
          <w:rFonts w:ascii="Arial" w:cs="Arial" w:eastAsia="Arial" w:hAnsi="Arial"/>
          <w:b/>
          <w:bCs/>
          <w:color w:val="1F3864"/>
          <w:sz w:val="22"/>
          <w:szCs w:val="22"/>
        </w:rPr>
        <w:t xml:space="preserve">Article 3 (Appointment and Status of the Reseller)</w:t>
      </w:r>
    </w:p>
    <w:p>
      <w:pPr>
        <w:spacing w:after="110"/>
      </w:pPr>
      <w:r>
        <w:rPr>
          <w:rFonts w:ascii="SimSun" w:cs="SimSun" w:eastAsia="SimSun" w:hAnsi="SimSun"/>
          <w:b/>
          <w:bCs/>
          <w:color w:val="1F3864"/>
          <w:sz w:val="22"/>
          <w:szCs w:val="22"/>
        </w:rPr>
        <w:t xml:space="preserve">第3条（经销商的指定与地位）</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“갑”은 “을”을 「아이포스처」 서비스의 프로 리셀러로 지정한다.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Party A appoints Party B as a Pro Reseller of the iPosture service.</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甲方指定乙方为 iPosture 服务的专业经销商。</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본 계약에 따른 리셀러 지정은 별도의 명시적 합의가 없는 한 비독점적(non-exclusive)이며, “갑”은 다른 리셀러를 지정할 수 있다.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Unless otherwise expressly agreed, this appointment is non-exclusive, and Party A may appoint other resellers.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除另有明确约定外，本指定为非独占性，甲方可指定其他经销商。</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“을”은 독립된 사업자로서 자기의 계산과 책임으로 영업을 수행하며, 본 계약은 “갑”과 “을” 사이에 고용·위임·대리·조합 또는 합작의 관계를 형성하지 아니한다.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Party B operates independently for its own account and at its own risk, and this Agreement does not create any employment, mandate, agency, partnership, or joint-venture relationship between the parties.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乙方作为独立经营者，以自身名义、自负盈亏开展业务；本协议不在双方之间形成任何雇佣、委托、代理、合伙或合营关系。</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④ </w:t>
      </w:r>
      <w:r>
        <w:rPr>
          <w:rFonts w:ascii="Malgun Gothic" w:cs="Malgun Gothic" w:eastAsia="Malgun Gothic" w:hAnsi="Malgun Gothic"/>
        </w:rPr>
        <w:t xml:space="preserve">“을”은 “갑”의 사전 서면 동의 없이 “갑” 또는 「아이포스처」를 대리하거나 “갑”을 구속하는 어떠한 의사표시도 할 수 없다.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④ </w:t>
      </w:r>
      <w:r>
        <w:rPr>
          <w:rFonts w:ascii="Arial" w:cs="Arial" w:eastAsia="Arial" w:hAnsi="Arial"/>
        </w:rPr>
        <w:t xml:space="preserve">Party B may not, without Party A’s prior written consent, represent Party A or iPosture or make any declaration binding upon Party A.</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④ </w:t>
      </w:r>
      <w:r>
        <w:rPr>
          <w:rFonts w:ascii="SimSun" w:cs="SimSun" w:eastAsia="SimSun" w:hAnsi="SimSun"/>
        </w:rPr>
        <w:t xml:space="preserve">未经甲方事先书面同意，乙方不得代表甲方或 iPosture，亦不得作出任何约束甲方的意思表示。</w:t>
      </w:r>
    </w:p>
    <w:p>
      <w:pPr>
        <w:spacing w:after="20" w:before="260"/>
      </w:pPr>
      <w:r>
        <w:rPr>
          <w:rFonts w:ascii="Malgun Gothic" w:cs="Malgun Gothic" w:eastAsia="Malgun Gothic" w:hAnsi="Malgun Gothic"/>
          <w:b/>
          <w:bCs/>
          <w:sz w:val="24"/>
          <w:szCs w:val="24"/>
        </w:rPr>
        <w:t xml:space="preserve">제4조 (영업 대상 및 권한 범위)</w:t>
      </w:r>
    </w:p>
    <w:p>
      <w:pPr>
        <w:spacing w:after="20"/>
      </w:pPr>
      <w:r>
        <w:rPr>
          <w:rFonts w:ascii="Arial" w:cs="Arial" w:eastAsia="Arial" w:hAnsi="Arial"/>
          <w:b/>
          <w:bCs/>
          <w:color w:val="1F3864"/>
          <w:sz w:val="22"/>
          <w:szCs w:val="22"/>
        </w:rPr>
        <w:t xml:space="preserve">Article 4 (Scope of Sales Targets and Authority)</w:t>
      </w:r>
    </w:p>
    <w:p>
      <w:pPr>
        <w:spacing w:after="110"/>
      </w:pPr>
      <w:r>
        <w:rPr>
          <w:rFonts w:ascii="SimSun" w:cs="SimSun" w:eastAsia="SimSun" w:hAnsi="SimSun"/>
          <w:b/>
          <w:bCs/>
          <w:color w:val="1F3864"/>
          <w:sz w:val="22"/>
          <w:szCs w:val="22"/>
        </w:rPr>
        <w:t xml:space="preserve">第4条（销售对象与权限范围）</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“을”의 영업·운영 대상은 트레이너 및 센터(PAC)로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Party B’s sales and operation targets are trainers and centers (PAC).</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乙方的销售与运营对象为教练及中心（PAC）。</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“을”의 영업 지역 및 대상 범위는 [별첨3]에서 정하며, 별첨에 별도 정함이 없는 경우 지역 제한이 없는 것으로 본다.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Party B’s sales territory and target scope are set out in Annex 3; absent any provision therein, no territorial restriction shall apply.</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乙方的销售地域及对象范围见附件3；附件未作约定的，视为无地域限制。</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“을”은 “갑”이 정한 정책·가격·브랜드 가이드라인의 범위 내에서만 영업·운영 활동을 수행한다.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Party B shall conduct its sales and operational activities only within the scope of the policies, prices, and brand guidelines set by Party A.</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乙方仅得在甲方所定政策、价格及品牌指引范围内开展销售与运营活动。</w:t>
      </w:r>
    </w:p>
    <w:p>
      <w:pPr>
        <w:spacing w:after="20" w:before="260"/>
      </w:pPr>
      <w:r>
        <w:rPr>
          <w:rFonts w:ascii="Malgun Gothic" w:cs="Malgun Gothic" w:eastAsia="Malgun Gothic" w:hAnsi="Malgun Gothic"/>
          <w:b/>
          <w:bCs/>
          <w:sz w:val="24"/>
          <w:szCs w:val="24"/>
        </w:rPr>
        <w:t xml:space="preserve">제5조 (결제 및 정산 구조)</w:t>
      </w:r>
    </w:p>
    <w:p>
      <w:pPr>
        <w:spacing w:after="20"/>
      </w:pPr>
      <w:r>
        <w:rPr>
          <w:rFonts w:ascii="Arial" w:cs="Arial" w:eastAsia="Arial" w:hAnsi="Arial"/>
          <w:b/>
          <w:bCs/>
          <w:color w:val="1F3864"/>
          <w:sz w:val="22"/>
          <w:szCs w:val="22"/>
        </w:rPr>
        <w:t xml:space="preserve">Article 5 (Payment and Settlement Structure)</w:t>
      </w:r>
    </w:p>
    <w:p>
      <w:pPr>
        <w:spacing w:after="110"/>
      </w:pPr>
      <w:r>
        <w:rPr>
          <w:rFonts w:ascii="SimSun" w:cs="SimSun" w:eastAsia="SimSun" w:hAnsi="SimSun"/>
          <w:b/>
          <w:bCs/>
          <w:color w:val="1F3864"/>
          <w:sz w:val="22"/>
          <w:szCs w:val="22"/>
        </w:rPr>
        <w:t xml:space="preserve">第5条（支付与结算结构）</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모든 결제는 “에듀핌 캠퍼스”에서 진행되며, 트레이너 이용료 및 센터 PAC 계약금은 에듀핌 캠퍼스 결제 시스템을 통해 처리된다.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All payments are processed on EduPim Campus, and trainer usage fees and center PAC contract amounts are processed through the EduPim Campus payment system.</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所有支付均在 EduPim Campus 进行，教练使用费及中心 PAC 合同款项均通过 EduPim Campus 支付系统处理。</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「아이포스처」는 서비스 제공 플랫폼이며, 결제·정산의 기준 시스템은 에듀핌 캠퍼스로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iPosture is the service delivery platform, while the reference system for payment and settlement is EduPim Campus.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iPosture 为服务交付平台，而支付与结算的基准系统为 EduPim Campus。</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“을”은 에듀핌 캠퍼스의 “강사 계정”을 부여받으며, 해당 계정에서 (i) 트레이너 결제 내역, (ii) 센터 PAC 계약 내역, (iii) 본인 수익, (iv) 정산 예정 금액을 실시간으로 직접 확인할 수 있다.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Party B is granted an Instructor Account on EduPim Campus, through which it may view in real time (i) trainer payment records, (ii) center PAC contract records, (iii) its own revenue, and (iv) scheduled settlement amounts.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甲方向乙方授予 EduPim Campus 讲师账户，乙方可借此实时查看：(i) 教练支付记录；(ii) 中心 PAC 合同记录；(iii) 本人收益；(iv) 预定结算金额。</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④ </w:t>
      </w:r>
      <w:r>
        <w:rPr>
          <w:rFonts w:ascii="Malgun Gothic" w:cs="Malgun Gothic" w:eastAsia="Malgun Gothic" w:hAnsi="Malgun Gothic"/>
        </w:rPr>
        <w:t xml:space="preserve">정산은 별도의 요청이나 수기 절차 없이 자동 정산 구조로 운영함을 원칙으로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④ </w:t>
      </w:r>
      <w:r>
        <w:rPr>
          <w:rFonts w:ascii="Arial" w:cs="Arial" w:eastAsia="Arial" w:hAnsi="Arial"/>
        </w:rPr>
        <w:t xml:space="preserve">Settlement shall, in principle, operate on an automated basis without any separate request or manual procedure.</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④ </w:t>
      </w:r>
      <w:r>
        <w:rPr>
          <w:rFonts w:ascii="SimSun" w:cs="SimSun" w:eastAsia="SimSun" w:hAnsi="SimSun"/>
        </w:rPr>
        <w:t xml:space="preserve">结算原则上以自动方式运行，无需另行申请或人工处理。</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⑤ </w:t>
      </w:r>
      <w:r>
        <w:rPr>
          <w:rFonts w:ascii="Malgun Gothic" w:cs="Malgun Gothic" w:eastAsia="Malgun Gothic" w:hAnsi="Malgun Gothic"/>
        </w:rPr>
        <w:t xml:space="preserve">정산 주기 및 지급일은 [별첨2]에서 정하며, 별도 정함이 없는 경우 매월 말일 마감, 익월 ____ 일 지급으로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⑤ </w:t>
      </w:r>
      <w:r>
        <w:rPr>
          <w:rFonts w:ascii="Arial" w:cs="Arial" w:eastAsia="Arial" w:hAnsi="Arial"/>
        </w:rPr>
        <w:t xml:space="preserve">The settlement cycle and payment date are set out in Annex 2; absent such provision, the cut-off shall be the last day of each month and payment shall be made on the ____ day of the following month.</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⑤ </w:t>
      </w:r>
      <w:r>
        <w:rPr>
          <w:rFonts w:ascii="SimSun" w:cs="SimSun" w:eastAsia="SimSun" w:hAnsi="SimSun"/>
        </w:rPr>
        <w:t xml:space="preserve">结算周期及支付日见附件2；无约定的，以每月末日截算，于次月 ____ 日支付。</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⑥ </w:t>
      </w:r>
      <w:r>
        <w:rPr>
          <w:rFonts w:ascii="Malgun Gothic" w:cs="Malgun Gothic" w:eastAsia="Malgun Gothic" w:hAnsi="Malgun Gothic"/>
        </w:rPr>
        <w:t xml:space="preserve">정산 금액은 원화(KRW)를 기준으로 산정한다. 가격 표기상의 US$ 금액은 참고 환율 1 US$ = 1,250원을 적용한 환산액이며, 국외 지급 또는 외화 환산이 필요한 경우 실제 적용 환율·수수료·원천징수 등의 처리 기준은 [별첨2]에서 정한다.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⑥ </w:t>
      </w:r>
      <w:r>
        <w:rPr>
          <w:rFonts w:ascii="Arial" w:cs="Arial" w:eastAsia="Arial" w:hAnsi="Arial"/>
        </w:rPr>
        <w:t xml:space="preserve">Settlement amounts are calculated in Korean Won (KRW). US$ figures shown for prices are conversions at the reference rate of US$1 = KRW 1,250; where overseas payment or foreign-currency conversion is required, the actual applicable exchange rate, fees, and withholding rules are set out in Annex 2.</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⑥ </w:t>
      </w:r>
      <w:r>
        <w:rPr>
          <w:rFonts w:ascii="SimSun" w:cs="SimSun" w:eastAsia="SimSun" w:hAnsi="SimSun"/>
        </w:rPr>
        <w:t xml:space="preserve">结算金额以韩元（KRW）计算。价格所示美元金额系按参考汇率 1 美元 = 1,250 韩元换算；如需境外支付或外币换算，实际适用汇率、手续费及代扣代缴等处理标准见附件2。</w:t>
      </w:r>
    </w:p>
    <w:p>
      <w:pPr>
        <w:spacing w:after="20" w:before="260"/>
      </w:pPr>
      <w:r>
        <w:rPr>
          <w:rFonts w:ascii="Malgun Gothic" w:cs="Malgun Gothic" w:eastAsia="Malgun Gothic" w:hAnsi="Malgun Gothic"/>
          <w:b/>
          <w:bCs/>
          <w:sz w:val="24"/>
          <w:szCs w:val="24"/>
        </w:rPr>
        <w:t xml:space="preserve">제6조 (가격 및 수익 구조)</w:t>
      </w:r>
    </w:p>
    <w:p>
      <w:pPr>
        <w:spacing w:after="20"/>
      </w:pPr>
      <w:r>
        <w:rPr>
          <w:rFonts w:ascii="Arial" w:cs="Arial" w:eastAsia="Arial" w:hAnsi="Arial"/>
          <w:b/>
          <w:bCs/>
          <w:color w:val="1F3864"/>
          <w:sz w:val="22"/>
          <w:szCs w:val="22"/>
        </w:rPr>
        <w:t xml:space="preserve">Article 6 (Pricing and Revenue Structure)</w:t>
      </w:r>
    </w:p>
    <w:p>
      <w:pPr>
        <w:spacing w:after="110"/>
      </w:pPr>
      <w:r>
        <w:rPr>
          <w:rFonts w:ascii="SimSun" w:cs="SimSun" w:eastAsia="SimSun" w:hAnsi="SimSun"/>
          <w:b/>
          <w:bCs/>
          <w:color w:val="1F3864"/>
          <w:sz w:val="22"/>
          <w:szCs w:val="22"/>
        </w:rPr>
        <w:t xml:space="preserve">第6条（价格与收益结构）</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PAC는 연 단위 계약 상품이며, 월 단위 계약은 제공되지 아니한다.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PAC is an annual-contract product; no monthly contract is provided.</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PAC 为按年签约产品，不提供按月签约。</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PAC 연 계약 가격은 [별첨1] PAC 연 계약 기준표에 따른다.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PAC annual-contract prices follow the PAC Annual Contract Schedule in Annex 1.</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PAC 年度合同价格依照附件1《PAC 年度合同基准表》。</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“을”의 수익(리셀러 마진 또는 수수료) 산정 기준 및 요율은 [별첨2]에서 정한다.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Party B’s revenue (reseller margin or commission) calculation basis and rate are set out in Annex 2.</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乙方收益（经销商利润或佣金）的核算标准及费率见附件2。</w:t>
      </w:r>
    </w:p>
    <w:p>
      <w:pPr>
        <w:spacing w:after="10" w:line="276"/>
      </w:pPr>
      <w:r>
        <w:rPr>
          <w:rFonts w:ascii="Malgun Gothic" w:cs="Malgun Gothic" w:eastAsia="Malgun Gothic" w:hAnsi="Malgun Gothic"/>
          <w:color w:val="8C8C8C"/>
          <w:sz w:val="18"/>
          <w:szCs w:val="18"/>
        </w:rPr>
        <w:t xml:space="preserve">※ 리셀러 수익 요율 : ____________________  (예: 판매가 대비 ____%)</w:t>
      </w:r>
    </w:p>
    <w:p>
      <w:pPr>
        <w:spacing w:after="10" w:line="276"/>
      </w:pPr>
      <w:r>
        <w:rPr>
          <w:rFonts w:ascii="Arial" w:cs="Arial" w:eastAsia="Arial" w:hAnsi="Arial"/>
          <w:color w:val="8C8C8C"/>
          <w:sz w:val="18"/>
          <w:szCs w:val="18"/>
        </w:rPr>
        <w:t xml:space="preserve">※ Reseller revenue rate: ____________________  (e.g., ____% of selling price)</w:t>
      </w:r>
    </w:p>
    <w:p>
      <w:pPr>
        <w:spacing w:after="120" w:line="276"/>
      </w:pPr>
      <w:r>
        <w:rPr>
          <w:rFonts w:ascii="SimSun" w:cs="SimSun" w:eastAsia="SimSun" w:hAnsi="SimSun"/>
          <w:color w:val="8C8C8C"/>
          <w:sz w:val="18"/>
          <w:szCs w:val="18"/>
        </w:rPr>
        <w:t xml:space="preserve">※ 经销商收益费率：____________________（例如：销售价的 ____%）</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④ </w:t>
      </w:r>
      <w:r>
        <w:rPr>
          <w:rFonts w:ascii="Malgun Gothic" w:cs="Malgun Gothic" w:eastAsia="Malgun Gothic" w:hAnsi="Malgun Gothic"/>
        </w:rPr>
        <w:t xml:space="preserve">“갑”은 시장 상황 등에 따라 가격 및 정책을 변경할 수 있으며, 변경 시 적용일 ____ 일(영업일 기준) 전까지 “을”에게 통지한다. 통지 전 이미 체결된 계약에는 종전 조건을 적용한다.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④ </w:t>
      </w:r>
      <w:r>
        <w:rPr>
          <w:rFonts w:ascii="Arial" w:cs="Arial" w:eastAsia="Arial" w:hAnsi="Arial"/>
        </w:rPr>
        <w:t xml:space="preserve">Party A may change prices and policies in response to market conditions, etc., and shall notify Party B at least ____ business days before the effective date. Contracts already concluded before such notice shall remain subject to the previous terms.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④ </w:t>
      </w:r>
      <w:r>
        <w:rPr>
          <w:rFonts w:ascii="SimSun" w:cs="SimSun" w:eastAsia="SimSun" w:hAnsi="SimSun"/>
        </w:rPr>
        <w:t xml:space="preserve">甲方可根据市场情况等变更价格及政策，并应于生效日 ____（工作日）前通知乙方。通知前已签订的合同适用原条件。</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⑤ </w:t>
      </w:r>
      <w:r>
        <w:rPr>
          <w:rFonts w:ascii="Malgun Gothic" w:cs="Malgun Gothic" w:eastAsia="Malgun Gothic" w:hAnsi="Malgun Gothic"/>
        </w:rPr>
        <w:t xml:space="preserve">“을”은 “갑”이 정한 가격 정책을 준수하여야 하며, 사전 서면 동의 없이 임의로 가격을 인상·인하하거나 미승인 할인·환급을 제공할 수 없다.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⑤ </w:t>
      </w:r>
      <w:r>
        <w:rPr>
          <w:rFonts w:ascii="Arial" w:cs="Arial" w:eastAsia="Arial" w:hAnsi="Arial"/>
        </w:rPr>
        <w:t xml:space="preserve">Party B shall comply with Party A’s pricing policy and may not arbitrarily raise or lower prices or offer unauthorized discounts or rebates without prior written consent.</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⑤ </w:t>
      </w:r>
      <w:r>
        <w:rPr>
          <w:rFonts w:ascii="SimSun" w:cs="SimSun" w:eastAsia="SimSun" w:hAnsi="SimSun"/>
        </w:rPr>
        <w:t xml:space="preserve">乙方应遵守甲方所定价格政策，未经事先书面同意，不得擅自提高或降低价格，亦不得提供未经批准的折扣或返还。</w:t>
      </w:r>
    </w:p>
    <w:p>
      <w:pPr>
        <w:spacing w:after="20" w:before="260"/>
      </w:pPr>
      <w:r>
        <w:rPr>
          <w:rFonts w:ascii="Malgun Gothic" w:cs="Malgun Gothic" w:eastAsia="Malgun Gothic" w:hAnsi="Malgun Gothic"/>
          <w:b/>
          <w:bCs/>
          <w:sz w:val="24"/>
          <w:szCs w:val="24"/>
        </w:rPr>
        <w:t xml:space="preserve">제7조 (PAC의 정의 및 소유권)</w:t>
      </w:r>
    </w:p>
    <w:p>
      <w:pPr>
        <w:spacing w:after="20"/>
      </w:pPr>
      <w:r>
        <w:rPr>
          <w:rFonts w:ascii="Arial" w:cs="Arial" w:eastAsia="Arial" w:hAnsi="Arial"/>
          <w:b/>
          <w:bCs/>
          <w:color w:val="1F3864"/>
          <w:sz w:val="22"/>
          <w:szCs w:val="22"/>
        </w:rPr>
        <w:t xml:space="preserve">Article 7 (Definition and Ownership of PAC)</w:t>
      </w:r>
    </w:p>
    <w:p>
      <w:pPr>
        <w:spacing w:after="110"/>
      </w:pPr>
      <w:r>
        <w:rPr>
          <w:rFonts w:ascii="SimSun" w:cs="SimSun" w:eastAsia="SimSun" w:hAnsi="SimSun"/>
          <w:b/>
          <w:bCs/>
          <w:color w:val="1F3864"/>
          <w:sz w:val="22"/>
          <w:szCs w:val="22"/>
        </w:rPr>
        <w:t xml:space="preserve">第7条（PAC 的定义与所有权）</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PAC는 「아이포스처 관리자 계정」으로서 트레이너 계정 생성·관리, 공용 용량 보유·배분, 센터·리셀러 단위 데이터 관리 기능을 수행한다.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PAC, as the iPosture administrator account, performs the functions of creating and managing trainer accounts, holding and allocating shared storage, and managing data by center and reseller.</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PAC 作为 iPosture 管理员账户，行使创建与管理教练账户、持有与分配共享容量、按中心和经销商管理数据等功能。</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PAC의 소유권은 「아이포스처」 본사인 “갑”에 있으며, “을” 및 센터는 사용권만을 부여받는다.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Ownership of PAC belongs to Party A, the headquarters of iPosture, and Party B and centers are granted only a right of use.</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PAC 的所有权归属 iPosture 总部即甲方，乙方及中心仅获授予使用权。</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“을”은 PAC 및 그 계정 정보를 “갑”의 사전 서면 동의 없이 제3자에게 양도·대여·재판매할 수 없다.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Party B may not assign, lend, or resell PAC or its account information to any third party without Party A’s prior written consent.</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未经甲方事先书面同意，乙方不得向任何第三方转让、出借或转售 PAC 及其账户信息。</w:t>
      </w:r>
    </w:p>
    <w:p>
      <w:pPr>
        <w:spacing w:after="20" w:before="260"/>
      </w:pPr>
      <w:r>
        <w:rPr>
          <w:rFonts w:ascii="Malgun Gothic" w:cs="Malgun Gothic" w:eastAsia="Malgun Gothic" w:hAnsi="Malgun Gothic"/>
          <w:b/>
          <w:bCs/>
          <w:sz w:val="24"/>
          <w:szCs w:val="24"/>
        </w:rPr>
        <w:t xml:space="preserve">제8조 (PAC 계약 정책 및 갱신)</w:t>
      </w:r>
    </w:p>
    <w:p>
      <w:pPr>
        <w:spacing w:after="20"/>
      </w:pPr>
      <w:r>
        <w:rPr>
          <w:rFonts w:ascii="Arial" w:cs="Arial" w:eastAsia="Arial" w:hAnsi="Arial"/>
          <w:b/>
          <w:bCs/>
          <w:color w:val="1F3864"/>
          <w:sz w:val="22"/>
          <w:szCs w:val="22"/>
        </w:rPr>
        <w:t xml:space="preserve">Article 8 (PAC Contract Policy and Renewal)</w:t>
      </w:r>
    </w:p>
    <w:p>
      <w:pPr>
        <w:spacing w:after="110"/>
      </w:pPr>
      <w:r>
        <w:rPr>
          <w:rFonts w:ascii="SimSun" w:cs="SimSun" w:eastAsia="SimSun" w:hAnsi="SimSun"/>
          <w:b/>
          <w:bCs/>
          <w:color w:val="1F3864"/>
          <w:sz w:val="22"/>
          <w:szCs w:val="22"/>
        </w:rPr>
        <w:t xml:space="preserve">第8条（PAC 合同政策与续约）</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PAC 계약 기간은 1년(12개월)을 원칙으로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The PAC contract term is, in principle, one (1) year (12 months).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PAC 合同期限原则上为一（1）年（12个月）。</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계약 만료 ____ 일 전까지 일방의 별도 의사표시가 없는 경우, PAC 계약은 동일 조건으로 1년간 자동 갱신될 수 있다. (자동 갱신: 적용 ☐ / 미적용 ☐)</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Unless either party gives separate notice at least ____ days before expiry, the PAC contract may be automatically renewed for one (1) year on the same terms. (Auto-renewal: applicable ☐ / not applicable ☐)</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除任一方于到期 ____ 日前另行通知外，PAC 合同可按相同条件自动续约一（1）年。（自动续约：适用 ☐ / 不适用 ☐）</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용량(GB/TB) 변경, 등급 상·하향 등의 조건은 갱신 시점 또는 “갑”이 정한 절차에 따른다.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Changes in storage (GB/TB) and tier upgrades or downgrades follow the renewal point or the procedure set by Party A.</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容量（GB/TB）变更、等级升降等条件按续约时点或甲方所定程序办理。</w:t>
      </w:r>
    </w:p>
    <w:p>
      <w:pPr>
        <w:spacing w:after="20" w:before="260"/>
      </w:pPr>
      <w:r>
        <w:rPr>
          <w:rFonts w:ascii="Malgun Gothic" w:cs="Malgun Gothic" w:eastAsia="Malgun Gothic" w:hAnsi="Malgun Gothic"/>
          <w:b/>
          <w:bCs/>
          <w:sz w:val="24"/>
          <w:szCs w:val="24"/>
        </w:rPr>
        <w:t xml:space="preserve">제9조 (환불 규정)</w:t>
      </w:r>
    </w:p>
    <w:p>
      <w:pPr>
        <w:spacing w:after="20"/>
      </w:pPr>
      <w:r>
        <w:rPr>
          <w:rFonts w:ascii="Arial" w:cs="Arial" w:eastAsia="Arial" w:hAnsi="Arial"/>
          <w:b/>
          <w:bCs/>
          <w:color w:val="1F3864"/>
          <w:sz w:val="22"/>
          <w:szCs w:val="22"/>
        </w:rPr>
        <w:t xml:space="preserve">Article 9 (Refund Policy)</w:t>
      </w:r>
    </w:p>
    <w:p>
      <w:pPr>
        <w:spacing w:after="110"/>
      </w:pPr>
      <w:r>
        <w:rPr>
          <w:rFonts w:ascii="SimSun" w:cs="SimSun" w:eastAsia="SimSun" w:hAnsi="SimSun"/>
          <w:b/>
          <w:bCs/>
          <w:color w:val="1F3864"/>
          <w:sz w:val="22"/>
          <w:szCs w:val="22"/>
        </w:rPr>
        <w:t xml:space="preserve">第9条（退款规定）</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PAC 및 트레이너 이용료의 환불은 관계 법령 및 “갑”의 환불 정책에 따른다.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Refunds of PAC and trainer usage fees follow applicable laws and Party A’s refund policy.</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PAC 及教练使用费的退款依照相关法律及甲方退款政策。</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단순 변심 등 “을” 또는 이용자 사유에 의한 중도 해지 시, 이미 사용한 기간 및 “갑”이 정한 위약·차감 기준을 적용하여 잔여 금액을 환불할 수 있으며, 구체적 산정식은 [별첨2]에서 정한다.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In case of early termination for reasons attributable to Party B or a user, such as a simple change of mind, the remaining amount may be refunded after applying the used period and the penalty/deduction standards set by Party A; the specific formula is set out in Annex 2.</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因乙方或用户事由（如单纯改变意愿）中途解约的，可在适用已使用期间及甲方所定违约/扣减标准后退还剩余金额，具体计算公式见附件2。</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“갑”의 귀책사유로 서비스가 제공되지 아니한 경우, 해당 기간에 상응하는 금액을 환불한다.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Where the service is not provided due to reasons attributable to Party A, the amount corresponding to such period shall be refunded.</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因甲方原因未提供服务的，应退还相应期间的款项。</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④ </w:t>
      </w:r>
      <w:r>
        <w:rPr>
          <w:rFonts w:ascii="Malgun Gothic" w:cs="Malgun Gothic" w:eastAsia="Malgun Gothic" w:hAnsi="Malgun Gothic"/>
        </w:rPr>
        <w:t xml:space="preserve">결제 수수료, 부가가치세 등 거래에 부수하여 발생한 비용의 환불 가능 여부는 관계 법령 및 결제대행사 정책에 따른다.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④ </w:t>
      </w:r>
      <w:r>
        <w:rPr>
          <w:rFonts w:ascii="Arial" w:cs="Arial" w:eastAsia="Arial" w:hAnsi="Arial"/>
        </w:rPr>
        <w:t xml:space="preserve">Whether payment fees, value-added tax, and other incidental transaction costs are refundable follows applicable laws and the payment-gateway policy.</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④ </w:t>
      </w:r>
      <w:r>
        <w:rPr>
          <w:rFonts w:ascii="SimSun" w:cs="SimSun" w:eastAsia="SimSun" w:hAnsi="SimSun"/>
        </w:rPr>
        <w:t xml:space="preserve">支付手续费、增值税等交易附带费用是否可退，依照相关法律及支付服务商政策。</w:t>
      </w:r>
    </w:p>
    <w:p>
      <w:pPr>
        <w:spacing w:after="20" w:before="260"/>
      </w:pPr>
      <w:r>
        <w:rPr>
          <w:rFonts w:ascii="Malgun Gothic" w:cs="Malgun Gothic" w:eastAsia="Malgun Gothic" w:hAnsi="Malgun Gothic"/>
          <w:b/>
          <w:bCs/>
          <w:sz w:val="24"/>
          <w:szCs w:val="24"/>
        </w:rPr>
        <w:t xml:space="preserve">제10조 (“을”의 의무)</w:t>
      </w:r>
    </w:p>
    <w:p>
      <w:pPr>
        <w:spacing w:after="20"/>
      </w:pPr>
      <w:r>
        <w:rPr>
          <w:rFonts w:ascii="Arial" w:cs="Arial" w:eastAsia="Arial" w:hAnsi="Arial"/>
          <w:b/>
          <w:bCs/>
          <w:color w:val="1F3864"/>
          <w:sz w:val="22"/>
          <w:szCs w:val="22"/>
        </w:rPr>
        <w:t xml:space="preserve">Article 10 (Obligations of Party B)</w:t>
      </w:r>
    </w:p>
    <w:p>
      <w:pPr>
        <w:spacing w:after="110"/>
      </w:pPr>
      <w:r>
        <w:rPr>
          <w:rFonts w:ascii="SimSun" w:cs="SimSun" w:eastAsia="SimSun" w:hAnsi="SimSun"/>
          <w:b/>
          <w:bCs/>
          <w:color w:val="1F3864"/>
          <w:sz w:val="22"/>
          <w:szCs w:val="22"/>
        </w:rPr>
        <w:t xml:space="preserve">第10条（乙方义务）</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관계 법령 및 본 계약, “갑”의 정책·가이드라인을 준수한다.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Comply with applicable laws, this Agreement, and Party A’s policies and guidelines.</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遵守相关法律、本协议及甲方政策与指引。</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“갑”이 정한 가격 정책 및 브랜드 사용 기준을 준수하고, 허위·과장 광고를 하지 아니한다.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Comply with Party A’s pricing policy and brand-use standards, and refrain from false or exaggerated advertising.</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遵守甲方价格政策及品牌使用标准，不作虚假或夸大宣传。</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영업 과정에서 취득한 트레이너·센터·이용자의 개인정보 및 거래정보를 관계 법령에 따라 안전하게 관리한다.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Safely manage, in accordance with applicable laws, the personal and transaction information of trainers, centers, and users obtained in the course of sales.</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依相关法律安全管理销售过程中取得的教练、中心及用户的个人信息与交易信息。</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「아이포스처」 및 에듀핌 캠퍼스의 명칭·상표·콘텐츠를 “갑”이 허용한 범위 내에서만 사용한다.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Use the names, trademarks, and content of iPosture and EduPim Campus only within the scope permitted by Party A.</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仅在甲方许可范围内使用 iPosture 及 EduPim Campus 的名称、商标与内容。</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“갑”의 명예나 신용을 훼손하거나 서비스 운영을 방해하는 행위를 하지 아니한다.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Refrain from any act that damages Party A’s reputation or credit or interferes with service operation.</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不得有损害甲方名誉或信用、或妨碍服务运营的行为。</w:t>
      </w:r>
    </w:p>
    <w:p>
      <w:pPr>
        <w:spacing w:after="20" w:before="260"/>
      </w:pPr>
      <w:r>
        <w:rPr>
          <w:rFonts w:ascii="Malgun Gothic" w:cs="Malgun Gothic" w:eastAsia="Malgun Gothic" w:hAnsi="Malgun Gothic"/>
          <w:b/>
          <w:bCs/>
          <w:sz w:val="24"/>
          <w:szCs w:val="24"/>
        </w:rPr>
        <w:t xml:space="preserve">제11조 (“갑”의 의무)</w:t>
      </w:r>
    </w:p>
    <w:p>
      <w:pPr>
        <w:spacing w:after="20"/>
      </w:pPr>
      <w:r>
        <w:rPr>
          <w:rFonts w:ascii="Arial" w:cs="Arial" w:eastAsia="Arial" w:hAnsi="Arial"/>
          <w:b/>
          <w:bCs/>
          <w:color w:val="1F3864"/>
          <w:sz w:val="22"/>
          <w:szCs w:val="22"/>
        </w:rPr>
        <w:t xml:space="preserve">Article 11 (Obligations of Party A)</w:t>
      </w:r>
    </w:p>
    <w:p>
      <w:pPr>
        <w:spacing w:after="110"/>
      </w:pPr>
      <w:r>
        <w:rPr>
          <w:rFonts w:ascii="SimSun" w:cs="SimSun" w:eastAsia="SimSun" w:hAnsi="SimSun"/>
          <w:b/>
          <w:bCs/>
          <w:color w:val="1F3864"/>
          <w:sz w:val="22"/>
          <w:szCs w:val="22"/>
        </w:rPr>
        <w:t xml:space="preserve">第11条（甲方义务）</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“을”이 영업·운영을 수행할 수 있도록 「아이포스처」 서비스 및 에듀핌 캠퍼스 강사 계정을 제공한다.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Provide the iPosture service and an EduPim Campus Instructor Account so that Party B can carry out sales and operations.</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提供 iPosture 服务及 EduPim Campus 讲师账户，使乙方得以开展销售与运营。</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결제·정산 내역 및 수익 정보를 강사 계정을 통해 실시간으로 확인할 수 있도록 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Enable payment/settlement records and revenue information to be viewed in real time through the Instructor Account.</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使支付/结算记录及收益信息可通过讲师账户实时查看。</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가격·정책 변경 시 제6조에 따라 사전 통지한다.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Give prior notice of price/policy changes in accordance with Article 6.</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依第6条对价格/政策变更进行事先通知。</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서비스 제공에 필요한 합리적 범위의 교육·자료·기술 지원을 제공한다.</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Provide a reasonable scope of training, materials, and technical support necessary for service provision.</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提供服务所需合理范围内的培训、资料与技术支持。</w:t>
      </w:r>
    </w:p>
    <w:p>
      <w:pPr>
        <w:spacing w:after="20" w:before="260"/>
      </w:pPr>
      <w:r>
        <w:rPr>
          <w:rFonts w:ascii="Malgun Gothic" w:cs="Malgun Gothic" w:eastAsia="Malgun Gothic" w:hAnsi="Malgun Gothic"/>
          <w:b/>
          <w:bCs/>
          <w:sz w:val="24"/>
          <w:szCs w:val="24"/>
        </w:rPr>
        <w:t xml:space="preserve">제12조 (지식재산권)</w:t>
      </w:r>
    </w:p>
    <w:p>
      <w:pPr>
        <w:spacing w:after="20"/>
      </w:pPr>
      <w:r>
        <w:rPr>
          <w:rFonts w:ascii="Arial" w:cs="Arial" w:eastAsia="Arial" w:hAnsi="Arial"/>
          <w:b/>
          <w:bCs/>
          <w:color w:val="1F3864"/>
          <w:sz w:val="22"/>
          <w:szCs w:val="22"/>
        </w:rPr>
        <w:t xml:space="preserve">Article 12 (Intellectual Property)</w:t>
      </w:r>
    </w:p>
    <w:p>
      <w:pPr>
        <w:spacing w:after="110"/>
      </w:pPr>
      <w:r>
        <w:rPr>
          <w:rFonts w:ascii="SimSun" w:cs="SimSun" w:eastAsia="SimSun" w:hAnsi="SimSun"/>
          <w:b/>
          <w:bCs/>
          <w:color w:val="1F3864"/>
          <w:sz w:val="22"/>
          <w:szCs w:val="22"/>
        </w:rPr>
        <w:t xml:space="preserve">第12条（知识产权）</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「아이포스처」, 에듀핌 캠퍼스 및 이와 관련된 상표·소프트웨어·콘텐츠·데이터에 관한 일체의 지식재산권은 “갑”에 귀속된다.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All intellectual property rights in iPosture, EduPim Campus, and their related trademarks, software, content, and data belong to Party A.</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iPosture、EduPim Campus 及其相关商标、软件、内容与数据的一切知识产权均归属甲方。</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“을”은 본 계약의 목적 범위 내에서만 위 자산을 사용할 수 있으며, 계약 종료 시 사용을 즉시 중단한다.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Party B may use such assets only within the scope of this Agreement’s purpose and shall immediately cease use upon termination.</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乙方仅得在本协议目的范围内使用上述资产，并应于协议终止时立即停止使用。</w:t>
      </w:r>
    </w:p>
    <w:p>
      <w:pPr>
        <w:spacing w:after="20" w:before="260"/>
      </w:pPr>
      <w:r>
        <w:rPr>
          <w:rFonts w:ascii="Malgun Gothic" w:cs="Malgun Gothic" w:eastAsia="Malgun Gothic" w:hAnsi="Malgun Gothic"/>
          <w:b/>
          <w:bCs/>
          <w:sz w:val="24"/>
          <w:szCs w:val="24"/>
        </w:rPr>
        <w:t xml:space="preserve">제13조 (비밀유지)</w:t>
      </w:r>
    </w:p>
    <w:p>
      <w:pPr>
        <w:spacing w:after="20"/>
      </w:pPr>
      <w:r>
        <w:rPr>
          <w:rFonts w:ascii="Arial" w:cs="Arial" w:eastAsia="Arial" w:hAnsi="Arial"/>
          <w:b/>
          <w:bCs/>
          <w:color w:val="1F3864"/>
          <w:sz w:val="22"/>
          <w:szCs w:val="22"/>
        </w:rPr>
        <w:t xml:space="preserve">Article 13 (Confidentiality)</w:t>
      </w:r>
    </w:p>
    <w:p>
      <w:pPr>
        <w:spacing w:after="110"/>
      </w:pPr>
      <w:r>
        <w:rPr>
          <w:rFonts w:ascii="SimSun" w:cs="SimSun" w:eastAsia="SimSun" w:hAnsi="SimSun"/>
          <w:b/>
          <w:bCs/>
          <w:color w:val="1F3864"/>
          <w:sz w:val="22"/>
          <w:szCs w:val="22"/>
        </w:rPr>
        <w:t xml:space="preserve">第13条（保密）</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양 당사자는 본 계약과 관련하여 알게 된 상대방의 영업비밀, 고객정보, 가격·정산 정보 등을 제3자에게 누설하거나 계약 목적 외로 사용하지 아니한다.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Each party shall not disclose to any third party, or use beyond the purpose of this Agreement, the other party’s trade secrets, customer information, and pricing/settlement information learned in connection with this Agreement.</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各方不得向任何第三方泄露、亦不得超出本协议目的使用因本协议而获知的对方商业秘密、客户信息及价格/结算信息。</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본 조의 의무는 계약 종료 후에도 ____ 년간 존속한다.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The obligations under this Article shall survive for ____ years after termination of this Agreement.</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本条义务在本协议终止后存续 ____ 年。</w:t>
      </w:r>
    </w:p>
    <w:p>
      <w:pPr>
        <w:spacing w:after="20" w:before="260"/>
      </w:pPr>
      <w:r>
        <w:rPr>
          <w:rFonts w:ascii="Malgun Gothic" w:cs="Malgun Gothic" w:eastAsia="Malgun Gothic" w:hAnsi="Malgun Gothic"/>
          <w:b/>
          <w:bCs/>
          <w:sz w:val="24"/>
          <w:szCs w:val="24"/>
        </w:rPr>
        <w:t xml:space="preserve">제14조 (개인정보의 보호)</w:t>
      </w:r>
    </w:p>
    <w:p>
      <w:pPr>
        <w:spacing w:after="20"/>
      </w:pPr>
      <w:r>
        <w:rPr>
          <w:rFonts w:ascii="Arial" w:cs="Arial" w:eastAsia="Arial" w:hAnsi="Arial"/>
          <w:b/>
          <w:bCs/>
          <w:color w:val="1F3864"/>
          <w:sz w:val="22"/>
          <w:szCs w:val="22"/>
        </w:rPr>
        <w:t xml:space="preserve">Article 14 (Protection of Personal Information)</w:t>
      </w:r>
    </w:p>
    <w:p>
      <w:pPr>
        <w:spacing w:after="110"/>
      </w:pPr>
      <w:r>
        <w:rPr>
          <w:rFonts w:ascii="SimSun" w:cs="SimSun" w:eastAsia="SimSun" w:hAnsi="SimSun"/>
          <w:b/>
          <w:bCs/>
          <w:color w:val="1F3864"/>
          <w:sz w:val="22"/>
          <w:szCs w:val="22"/>
        </w:rPr>
        <w:t xml:space="preserve">第14条（个人信息保护）</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양 당사자는 「개인정보 보호법」 등 대한민국 관계 법령 및 “정산 운영사” 소재지인 싱가포르의 「개인정보보호법(PDPA)」 등 적용 법령을 준수한다.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The parties shall comply with applicable laws including the Personal Information Protection Act of the Republic of Korea and the Personal Data Protection Act (PDPA) of Singapore, where the Settlement Operator is located.</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双方应遵守包括大韩民国《个人信息保护法》以及结算运营方所在地新加坡《个人数据保护法》（PDPA）在内的适用法律。</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결제·정산 처리를 위하여 개인정보가 국외(싱가포르 등)로 이전될 수 있으며, 양 당사자는 그에 필요한 동의 취득 및 안전조치를 이행한다.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Personal information may be transferred overseas (e.g., to Singapore) for payment and settlement processing, and the parties shall obtain the necessary consents and implement safeguards.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为支付与结算处理之目的，个人信息可能被转移至境外（如新加坡），双方应取得必要同意并实施安全措施。</w:t>
      </w:r>
    </w:p>
    <w:p>
      <w:pPr>
        <w:spacing w:after="20" w:before="260"/>
      </w:pPr>
      <w:r>
        <w:rPr>
          <w:rFonts w:ascii="Malgun Gothic" w:cs="Malgun Gothic" w:eastAsia="Malgun Gothic" w:hAnsi="Malgun Gothic"/>
          <w:b/>
          <w:bCs/>
          <w:sz w:val="24"/>
          <w:szCs w:val="24"/>
        </w:rPr>
        <w:t xml:space="preserve">제15조 (계약 기간 및 갱신)</w:t>
      </w:r>
    </w:p>
    <w:p>
      <w:pPr>
        <w:spacing w:after="20"/>
      </w:pPr>
      <w:r>
        <w:rPr>
          <w:rFonts w:ascii="Arial" w:cs="Arial" w:eastAsia="Arial" w:hAnsi="Arial"/>
          <w:b/>
          <w:bCs/>
          <w:color w:val="1F3864"/>
          <w:sz w:val="22"/>
          <w:szCs w:val="22"/>
        </w:rPr>
        <w:t xml:space="preserve">Article 15 (Term and Renewal)</w:t>
      </w:r>
    </w:p>
    <w:p>
      <w:pPr>
        <w:spacing w:after="110"/>
      </w:pPr>
      <w:r>
        <w:rPr>
          <w:rFonts w:ascii="SimSun" w:cs="SimSun" w:eastAsia="SimSun" w:hAnsi="SimSun"/>
          <w:b/>
          <w:bCs/>
          <w:color w:val="1F3864"/>
          <w:sz w:val="22"/>
          <w:szCs w:val="22"/>
        </w:rPr>
        <w:t xml:space="preserve">第15条（协议期限与续约）</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본 계약의 기간은 계약 체결일로부터 1년으로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The term of this Agreement is one (1) year from the date of execution.</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本协议期限自签订之日起为一（1）年。</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기간 만료 ____ 일 전까지 일방의 서면 갱신 거절 통지가 없으면, 본 계약은 동일 조건으로 1년씩 자동 연장된다.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Unless a party gives written notice of refusal to renew at least ____ days before expiry, this Agreement shall be automatically extended for successive one-year periods on the same terms.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除一方于到期 ____ 日前书面通知拒绝续约外，本协议按相同条件每次自动延长一年。</w:t>
      </w:r>
    </w:p>
    <w:p>
      <w:pPr>
        <w:spacing w:after="20" w:before="260"/>
      </w:pPr>
      <w:r>
        <w:rPr>
          <w:rFonts w:ascii="Malgun Gothic" w:cs="Malgun Gothic" w:eastAsia="Malgun Gothic" w:hAnsi="Malgun Gothic"/>
          <w:b/>
          <w:bCs/>
          <w:sz w:val="24"/>
          <w:szCs w:val="24"/>
        </w:rPr>
        <w:t xml:space="preserve">제16조 (계약의 해지)</w:t>
      </w:r>
    </w:p>
    <w:p>
      <w:pPr>
        <w:spacing w:after="20"/>
      </w:pPr>
      <w:r>
        <w:rPr>
          <w:rFonts w:ascii="Arial" w:cs="Arial" w:eastAsia="Arial" w:hAnsi="Arial"/>
          <w:b/>
          <w:bCs/>
          <w:color w:val="1F3864"/>
          <w:sz w:val="22"/>
          <w:szCs w:val="22"/>
        </w:rPr>
        <w:t xml:space="preserve">Article 16 (Termination)</w:t>
      </w:r>
    </w:p>
    <w:p>
      <w:pPr>
        <w:spacing w:after="110"/>
      </w:pPr>
      <w:r>
        <w:rPr>
          <w:rFonts w:ascii="SimSun" w:cs="SimSun" w:eastAsia="SimSun" w:hAnsi="SimSun"/>
          <w:b/>
          <w:bCs/>
          <w:color w:val="1F3864"/>
          <w:sz w:val="22"/>
          <w:szCs w:val="22"/>
        </w:rPr>
        <w:t xml:space="preserve">第16条（协议解除）</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일방이 본 계약을 위반하고 상대방의 서면 시정 요구를 받은 날부터 ____ 일 이내에 시정하지 아니하는 경우, 상대방은 본 계약을 해지할 수 있다.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If a party breaches this Agreement and fails to cure within ____ days of the other party’s written demand, the other party may terminate this Agreement.</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一方违反本协议，且在收到对方书面纠正要求之日起 ____ 日内未予纠正的，对方可解除本协议。</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다음의 사유가 발생한 경우 상대방은 최고 없이 즉시 해지할 수 있다: 영업정지·파산·회생 신청, 중대한 법령 위반, 비밀유지·지식재산권 의무의 중대한 위반.</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Upon any of the following, the other party may terminate immediately without demand: suspension of business, filing for bankruptcy or rehabilitation, material violation of law, or material breach of confidentiality or IP obligations.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发生下列情形之一的，对方可不经催告立即解除：停业、申请破产或重整、重大违法、或严重违反保密或知识产权义务。</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계약 종료 시 “을”은 「아이포스처」·에듀핌 캠퍼스의 명칭·상표·자료 사용을 즉시 중단하고, 기 발생한 정산은 정상 처리한다.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Upon termination, Party B shall immediately cease use of the names, trademarks, and materials of iPosture and EduPim Campus, and accrued settlements shall be processed normally.</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协议终止时，乙方应立即停止使用 iPosture 及 EduPim Campus 的名称、商标与资料，已发生的结算照常处理。</w:t>
      </w:r>
    </w:p>
    <w:p>
      <w:pPr>
        <w:spacing w:after="20" w:before="260"/>
      </w:pPr>
      <w:r>
        <w:rPr>
          <w:rFonts w:ascii="Malgun Gothic" w:cs="Malgun Gothic" w:eastAsia="Malgun Gothic" w:hAnsi="Malgun Gothic"/>
          <w:b/>
          <w:bCs/>
          <w:sz w:val="24"/>
          <w:szCs w:val="24"/>
        </w:rPr>
        <w:t xml:space="preserve">제17조 (손해배상 및 책임의 제한)</w:t>
      </w:r>
    </w:p>
    <w:p>
      <w:pPr>
        <w:spacing w:after="20"/>
      </w:pPr>
      <w:r>
        <w:rPr>
          <w:rFonts w:ascii="Arial" w:cs="Arial" w:eastAsia="Arial" w:hAnsi="Arial"/>
          <w:b/>
          <w:bCs/>
          <w:color w:val="1F3864"/>
          <w:sz w:val="22"/>
          <w:szCs w:val="22"/>
        </w:rPr>
        <w:t xml:space="preserve">Article 17 (Damages and Limitation of Liability)</w:t>
      </w:r>
    </w:p>
    <w:p>
      <w:pPr>
        <w:spacing w:after="110"/>
      </w:pPr>
      <w:r>
        <w:rPr>
          <w:rFonts w:ascii="SimSun" w:cs="SimSun" w:eastAsia="SimSun" w:hAnsi="SimSun"/>
          <w:b/>
          <w:bCs/>
          <w:color w:val="1F3864"/>
          <w:sz w:val="22"/>
          <w:szCs w:val="22"/>
        </w:rPr>
        <w:t xml:space="preserve">第17条（损害赔偿与责任限制）</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일방이 본 계약을 위반하여 상대방에게 손해를 입힌 경우 그 손해를 배상한다.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A party that breaches this Agreement and causes damage to the other party shall compensate for such damage.</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违反本协议致对方损害的一方应予赔偿。</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“갑”은 천재지변, 통신·전력 장애, 제3자 결제대행사 사정 등 “갑”의 합리적 통제를 벗어난 사유로 인한 손해에 대하여 책임을 지지 아니한다.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Party A shall not be liable for damage arising from causes beyond its reasonable control, such as force majeure, communication/power failures, or circumstances of third-party payment gateways.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因不可抗力、通信/电力故障、第三方支付服务商事由等超出甲方合理控制之原因所致损害，甲方不承担责任。</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각 당사자의 책임 범위는 관계 법령이 허용하는 한도에서 직접손해로 제한될 수 있으며, 구체적 한도는 [별첨2]에서 정할 수 있다.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Each party’s liability may be limited to direct damages to the extent permitted by applicable law, and a specific cap may be set out in Annex 2.</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在适用法律允许范围内，各方责任可限于直接损害，具体上限可于附件2约定。</w:t>
      </w:r>
    </w:p>
    <w:p>
      <w:pPr>
        <w:spacing w:after="20" w:before="260"/>
      </w:pPr>
      <w:r>
        <w:rPr>
          <w:rFonts w:ascii="Malgun Gothic" w:cs="Malgun Gothic" w:eastAsia="Malgun Gothic" w:hAnsi="Malgun Gothic"/>
          <w:b/>
          <w:bCs/>
          <w:sz w:val="24"/>
          <w:szCs w:val="24"/>
        </w:rPr>
        <w:t xml:space="preserve">제18조 (권리·의무의 양도 금지)</w:t>
      </w:r>
    </w:p>
    <w:p>
      <w:pPr>
        <w:spacing w:after="20"/>
      </w:pPr>
      <w:r>
        <w:rPr>
          <w:rFonts w:ascii="Arial" w:cs="Arial" w:eastAsia="Arial" w:hAnsi="Arial"/>
          <w:b/>
          <w:bCs/>
          <w:color w:val="1F3864"/>
          <w:sz w:val="22"/>
          <w:szCs w:val="22"/>
        </w:rPr>
        <w:t xml:space="preserve">Article 18 (Prohibition of Assignment)</w:t>
      </w:r>
    </w:p>
    <w:p>
      <w:pPr>
        <w:spacing w:after="110"/>
      </w:pPr>
      <w:r>
        <w:rPr>
          <w:rFonts w:ascii="SimSun" w:cs="SimSun" w:eastAsia="SimSun" w:hAnsi="SimSun"/>
          <w:b/>
          <w:bCs/>
          <w:color w:val="1F3864"/>
          <w:sz w:val="22"/>
          <w:szCs w:val="22"/>
        </w:rPr>
        <w:t xml:space="preserve">第18条（权利义务转让的禁止）</w:t>
      </w:r>
    </w:p>
    <w:p>
      <w:p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“을”은 상대방의 사전 서면 동의 없이 본 계약상의 지위 또는 권리·의무의 전부 또는 일부를 제3자에게 양도·이전하거나 담보로 제공할 수 없다.</w:t>
      </w:r>
    </w:p>
    <w:p>
      <w:pPr>
        <w:spacing w:after="30" w:line="276"/>
      </w:pPr>
      <w:r>
        <w:rPr>
          <w:rFonts w:ascii="Arial" w:cs="Arial" w:eastAsia="Arial" w:hAnsi="Arial"/>
          <w:b/>
          <w:bCs/>
          <w:color w:val="8C8C8C"/>
          <w:sz w:val="14"/>
          <w:szCs w:val="14"/>
        </w:rPr>
        <w:t xml:space="preserve">EN </w:t>
      </w:r>
      <w:r>
        <w:rPr>
          <w:rFonts w:ascii="Arial" w:cs="Arial" w:eastAsia="Arial" w:hAnsi="Arial"/>
        </w:rPr>
        <w:t xml:space="preserve">Party B may not, without the other party’s prior written consent, assign or transfer to any third party, or pledge as security, all or part of its status or rights and obligations under this Agreement.</w:t>
      </w:r>
    </w:p>
    <w:p>
      <w:pPr>
        <w:spacing w:after="130" w:line="276"/>
      </w:pPr>
      <w:r>
        <w:rPr>
          <w:rFonts w:ascii="Arial" w:cs="Arial" w:eastAsia="Arial" w:hAnsi="Arial"/>
          <w:b/>
          <w:bCs/>
          <w:color w:val="8C8C8C"/>
          <w:sz w:val="14"/>
          <w:szCs w:val="14"/>
        </w:rPr>
        <w:t xml:space="preserve">ZH </w:t>
      </w:r>
      <w:r>
        <w:rPr>
          <w:rFonts w:ascii="SimSun" w:cs="SimSun" w:eastAsia="SimSun" w:hAnsi="SimSun"/>
        </w:rPr>
        <w:t xml:space="preserve">未经对方事先书面同意，乙方不得向任何第三方转让或移转本协议项下的地位或全部/部分权利义务，亦不得设定担保。</w:t>
      </w:r>
    </w:p>
    <w:p>
      <w:pPr>
        <w:spacing w:after="20" w:before="260"/>
      </w:pPr>
      <w:r>
        <w:rPr>
          <w:rFonts w:ascii="Malgun Gothic" w:cs="Malgun Gothic" w:eastAsia="Malgun Gothic" w:hAnsi="Malgun Gothic"/>
          <w:b/>
          <w:bCs/>
          <w:sz w:val="24"/>
          <w:szCs w:val="24"/>
        </w:rPr>
        <w:t xml:space="preserve">제19조 (준거법 및 관할)</w:t>
      </w:r>
    </w:p>
    <w:p>
      <w:pPr>
        <w:spacing w:after="20"/>
      </w:pPr>
      <w:r>
        <w:rPr>
          <w:rFonts w:ascii="Arial" w:cs="Arial" w:eastAsia="Arial" w:hAnsi="Arial"/>
          <w:b/>
          <w:bCs/>
          <w:color w:val="1F3864"/>
          <w:sz w:val="22"/>
          <w:szCs w:val="22"/>
        </w:rPr>
        <w:t xml:space="preserve">Article 19 (Governing Law and Jurisdiction)</w:t>
      </w:r>
    </w:p>
    <w:p>
      <w:pPr>
        <w:spacing w:after="110"/>
      </w:pPr>
      <w:r>
        <w:rPr>
          <w:rFonts w:ascii="SimSun" w:cs="SimSun" w:eastAsia="SimSun" w:hAnsi="SimSun"/>
          <w:b/>
          <w:bCs/>
          <w:color w:val="1F3864"/>
          <w:sz w:val="22"/>
          <w:szCs w:val="22"/>
        </w:rPr>
        <w:t xml:space="preserve">第19条（准据法与管辖）</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본 계약의 준거법은 대한민국 법으로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The governing law of this Agreement is the law of the Republic of Korea.</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本协议的准据法为大韩民国法律。</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본 계약과 관련하여 분쟁이 발생한 경우, 1심 관할법원은 “서비스 공급자”의 본점 소재지를 관할하는 법원(대전지방법원 천안지원)으로 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In the event of a dispute, the court of first instance shall be the court having jurisdiction over the Service Provider’s head-office location (Daejeon District Court, Cheonan Branch).</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因本协议产生争议的，第一审管辖法院为服务提供方总部所在地管辖法院（大田地方法院天安分院）。</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다만, 당사자는 국외 요소가 관련된 분쟁에 대하여 싱가포르국제중재센터(SIAC) 중재 등 별도의 분쟁해결 방법을 [별첨]으로 합의할 수 있다.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Provided that the parties may agree, by way of an annex, on a separate dispute-resolution method such as arbitration before the Singapore International Arbitration Centre (SIAC) for disputes involving foreign elements.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但双方可就涉外争议，以附件形式另行约定其他争议解决方式，如提交新加坡国际仲裁中心（SIAC）仲裁。</w:t>
      </w:r>
    </w:p>
    <w:p>
      <w:pPr>
        <w:spacing w:after="20" w:before="260"/>
      </w:pPr>
      <w:r>
        <w:rPr>
          <w:rFonts w:ascii="Malgun Gothic" w:cs="Malgun Gothic" w:eastAsia="Malgun Gothic" w:hAnsi="Malgun Gothic"/>
          <w:b/>
          <w:bCs/>
          <w:sz w:val="24"/>
          <w:szCs w:val="24"/>
        </w:rPr>
        <w:t xml:space="preserve">제20조 (기타)</w:t>
      </w:r>
    </w:p>
    <w:p>
      <w:pPr>
        <w:spacing w:after="20"/>
      </w:pPr>
      <w:r>
        <w:rPr>
          <w:rFonts w:ascii="Arial" w:cs="Arial" w:eastAsia="Arial" w:hAnsi="Arial"/>
          <w:b/>
          <w:bCs/>
          <w:color w:val="1F3864"/>
          <w:sz w:val="22"/>
          <w:szCs w:val="22"/>
        </w:rPr>
        <w:t xml:space="preserve">Article 20 (Miscellaneous)</w:t>
      </w:r>
    </w:p>
    <w:p>
      <w:pPr>
        <w:spacing w:after="110"/>
      </w:pPr>
      <w:r>
        <w:rPr>
          <w:rFonts w:ascii="SimSun" w:cs="SimSun" w:eastAsia="SimSun" w:hAnsi="SimSun"/>
          <w:b/>
          <w:bCs/>
          <w:color w:val="1F3864"/>
          <w:sz w:val="22"/>
          <w:szCs w:val="22"/>
        </w:rPr>
        <w:t xml:space="preserve">第20条（其他）</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① </w:t>
      </w:r>
      <w:r>
        <w:rPr>
          <w:rFonts w:ascii="Malgun Gothic" w:cs="Malgun Gothic" w:eastAsia="Malgun Gothic" w:hAnsi="Malgun Gothic"/>
        </w:rPr>
        <w:t xml:space="preserve">본 계약에 정함이 없는 사항은 관계 법령 및 상관례에 따르고, 필요한 경우 양 당사자가 협의하여 정한다.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① </w:t>
      </w:r>
      <w:r>
        <w:rPr>
          <w:rFonts w:ascii="Arial" w:cs="Arial" w:eastAsia="Arial" w:hAnsi="Arial"/>
        </w:rPr>
        <w:t xml:space="preserve">Matters not provided for in this Agreement shall follow applicable laws and commercial practice and, if necessary, be determined through consultation between the parties.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① </w:t>
      </w:r>
      <w:r>
        <w:rPr>
          <w:rFonts w:ascii="SimSun" w:cs="SimSun" w:eastAsia="SimSun" w:hAnsi="SimSun"/>
        </w:rPr>
        <w:t xml:space="preserve">本协议未尽事宜，依相关法律及商业惯例办理，必要时由双方协商确定。</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② </w:t>
      </w:r>
      <w:r>
        <w:rPr>
          <w:rFonts w:ascii="Malgun Gothic" w:cs="Malgun Gothic" w:eastAsia="Malgun Gothic" w:hAnsi="Malgun Gothic"/>
        </w:rPr>
        <w:t xml:space="preserve">본 계약의 변경은 양 당사자가 서명한 서면에 의하여만 효력이 있다.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② </w:t>
      </w:r>
      <w:r>
        <w:rPr>
          <w:rFonts w:ascii="Arial" w:cs="Arial" w:eastAsia="Arial" w:hAnsi="Arial"/>
        </w:rPr>
        <w:t xml:space="preserve">Any amendment to this Agreement shall be effective only by a writing signed by both parties.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② </w:t>
      </w:r>
      <w:r>
        <w:rPr>
          <w:rFonts w:ascii="SimSun" w:cs="SimSun" w:eastAsia="SimSun" w:hAnsi="SimSun"/>
        </w:rPr>
        <w:t xml:space="preserve">本协议的任何变更，仅以双方签署的书面形式生效。</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③ </w:t>
      </w:r>
      <w:r>
        <w:rPr>
          <w:rFonts w:ascii="Malgun Gothic" w:cs="Malgun Gothic" w:eastAsia="Malgun Gothic" w:hAnsi="Malgun Gothic"/>
        </w:rPr>
        <w:t xml:space="preserve">본 계약의 일부 조항이 무효가 되더라도 나머지 조항의 효력에는 영향을 미치지 아니한다.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③ </w:t>
      </w:r>
      <w:r>
        <w:rPr>
          <w:rFonts w:ascii="Arial" w:cs="Arial" w:eastAsia="Arial" w:hAnsi="Arial"/>
        </w:rPr>
        <w:t xml:space="preserve">Even if any provision of this Agreement becomes invalid, the validity of the remaining provisions shall not be affected.</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③ </w:t>
      </w:r>
      <w:r>
        <w:rPr>
          <w:rFonts w:ascii="SimSun" w:cs="SimSun" w:eastAsia="SimSun" w:hAnsi="SimSun"/>
        </w:rPr>
        <w:t xml:space="preserve">本协议部分条款无效的，不影响其余条款的效力。</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④ </w:t>
      </w:r>
      <w:r>
        <w:rPr>
          <w:rFonts w:ascii="Malgun Gothic" w:cs="Malgun Gothic" w:eastAsia="Malgun Gothic" w:hAnsi="Malgun Gothic"/>
        </w:rPr>
        <w:t xml:space="preserve">본 계약은 당사자 간의 완전한 합의이며, 본 계약 이전의 구두·서면 합의에 우선한다.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④ </w:t>
      </w:r>
      <w:r>
        <w:rPr>
          <w:rFonts w:ascii="Arial" w:cs="Arial" w:eastAsia="Arial" w:hAnsi="Arial"/>
        </w:rPr>
        <w:t xml:space="preserve">This Agreement constitutes the entire agreement between the parties and supersedes all prior oral or written agreements.</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④ </w:t>
      </w:r>
      <w:r>
        <w:rPr>
          <w:rFonts w:ascii="SimSun" w:cs="SimSun" w:eastAsia="SimSun" w:hAnsi="SimSun"/>
        </w:rPr>
        <w:t xml:space="preserve">本协议构成双方之间的完整协议，并优先于此前一切口头或书面约定。</w:t>
      </w:r>
    </w:p>
    <w:p>
      <w:pPr>
        <w:spacing w:after="30" w:line="276"/>
        <w:ind w:left="420" w:hanging="300"/>
      </w:pPr>
      <w:r>
        <w:rPr>
          <w:rFonts w:ascii="Arial" w:cs="Arial" w:eastAsia="Arial" w:hAnsi="Arial"/>
          <w:b/>
          <w:bCs/>
          <w:color w:val="8C8C8C"/>
          <w:sz w:val="14"/>
          <w:szCs w:val="14"/>
        </w:rPr>
        <w:t xml:space="preserve">KR </w:t>
      </w:r>
      <w:r>
        <w:rPr>
          <w:rFonts w:ascii="Malgun Gothic" w:cs="Malgun Gothic" w:eastAsia="Malgun Gothic" w:hAnsi="Malgun Gothic"/>
          <w:b/>
          <w:bCs/>
        </w:rPr>
        <w:t xml:space="preserve">⑤ </w:t>
      </w:r>
      <w:r>
        <w:rPr>
          <w:rFonts w:ascii="Malgun Gothic" w:cs="Malgun Gothic" w:eastAsia="Malgun Gothic" w:hAnsi="Malgun Gothic"/>
        </w:rPr>
        <w:t xml:space="preserve">본 계약은 한국어, 영어, 중국어로 작성되며, 해석상 차이가 있는 경우 한국어본을 우선한다.</w:t>
      </w:r>
    </w:p>
    <w:p>
      <w:pPr>
        <w:spacing w:after="30" w:line="276"/>
        <w:ind w:left="420" w:hanging="300"/>
      </w:pPr>
      <w:r>
        <w:rPr>
          <w:rFonts w:ascii="Arial" w:cs="Arial" w:eastAsia="Arial" w:hAnsi="Arial"/>
          <w:b/>
          <w:bCs/>
          <w:color w:val="8C8C8C"/>
          <w:sz w:val="14"/>
          <w:szCs w:val="14"/>
        </w:rPr>
        <w:t xml:space="preserve">EN </w:t>
      </w:r>
      <w:r>
        <w:rPr>
          <w:rFonts w:ascii="Arial" w:cs="Arial" w:eastAsia="Arial" w:hAnsi="Arial"/>
          <w:b/>
          <w:bCs/>
        </w:rPr>
        <w:t xml:space="preserve">⑤ </w:t>
      </w:r>
      <w:r>
        <w:rPr>
          <w:rFonts w:ascii="Arial" w:cs="Arial" w:eastAsia="Arial" w:hAnsi="Arial"/>
        </w:rPr>
        <w:t xml:space="preserve">This Agreement is executed in Korean, English, and Chinese; in case of any discrepancy in interpretation, the Korean version shall prevail.</w:t>
      </w:r>
    </w:p>
    <w:p>
      <w:pPr>
        <w:spacing w:after="130" w:line="276"/>
        <w:ind w:left="420" w:hanging="300"/>
      </w:pPr>
      <w:r>
        <w:rPr>
          <w:rFonts w:ascii="Arial" w:cs="Arial" w:eastAsia="Arial" w:hAnsi="Arial"/>
          <w:b/>
          <w:bCs/>
          <w:color w:val="8C8C8C"/>
          <w:sz w:val="14"/>
          <w:szCs w:val="14"/>
        </w:rPr>
        <w:t xml:space="preserve">ZH </w:t>
      </w:r>
      <w:r>
        <w:rPr>
          <w:rFonts w:ascii="SimSun" w:cs="SimSun" w:eastAsia="SimSun" w:hAnsi="SimSun"/>
          <w:b/>
          <w:bCs/>
        </w:rPr>
        <w:t xml:space="preserve">⑤ </w:t>
      </w:r>
      <w:r>
        <w:rPr>
          <w:rFonts w:ascii="SimSun" w:cs="SimSun" w:eastAsia="SimSun" w:hAnsi="SimSun"/>
        </w:rPr>
        <w:t xml:space="preserve">本协议以韩文、英文、中文订立；解释上如有差异，以韩文版本为准。</w:t>
      </w:r>
    </w:p>
    <w:p>
      <w:pPr>
        <w:spacing w:before="60"/>
      </w:pPr>
      <w:r>
        <w:rPr>
          <w:rFonts w:ascii="Malgun Gothic" w:cs="Malgun Gothic" w:eastAsia="Malgun Gothic" w:hAnsi="Malgun Gothic"/>
        </w:rPr>
        <w:t xml:space="preserve"/>
      </w:r>
    </w:p>
    <w:p>
      <w:p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본 계약의 성립을 증명하기 위하여 계약서를 작성하고, 각 당사자가 서명·날인한 후 각 1부씩 보관한다.</w:t>
      </w:r>
    </w:p>
    <w:p>
      <w:pPr>
        <w:spacing w:after="30" w:line="276"/>
      </w:pPr>
      <w:r>
        <w:rPr>
          <w:rFonts w:ascii="Arial" w:cs="Arial" w:eastAsia="Arial" w:hAnsi="Arial"/>
          <w:b/>
          <w:bCs/>
          <w:color w:val="8C8C8C"/>
          <w:sz w:val="14"/>
          <w:szCs w:val="14"/>
        </w:rPr>
        <w:t xml:space="preserve">EN </w:t>
      </w:r>
      <w:r>
        <w:rPr>
          <w:rFonts w:ascii="Arial" w:cs="Arial" w:eastAsia="Arial" w:hAnsi="Arial"/>
        </w:rPr>
        <w:t xml:space="preserve">In witness whereof, this Agreement is executed and, after being signed and sealed by each party, one copy shall be retained by each.</w:t>
      </w:r>
    </w:p>
    <w:p>
      <w:pPr>
        <w:spacing w:after="130" w:line="276"/>
      </w:pPr>
      <w:r>
        <w:rPr>
          <w:rFonts w:ascii="Arial" w:cs="Arial" w:eastAsia="Arial" w:hAnsi="Arial"/>
          <w:b/>
          <w:bCs/>
          <w:color w:val="8C8C8C"/>
          <w:sz w:val="14"/>
          <w:szCs w:val="14"/>
        </w:rPr>
        <w:t xml:space="preserve">ZH </w:t>
      </w:r>
      <w:r>
        <w:rPr>
          <w:rFonts w:ascii="SimSun" w:cs="SimSun" w:eastAsia="SimSun" w:hAnsi="SimSun"/>
        </w:rPr>
        <w:t xml:space="preserve">为证明本协议之成立，特制作本协议，经各方签字盖章后，各执一份。</w:t>
      </w:r>
    </w:p>
    <w:p>
      <w:pPr>
        <w:spacing w:after="200" w:before="160"/>
        <w:jc w:val="center"/>
      </w:pPr>
      <w:r>
        <w:rPr>
          <w:rFonts w:ascii="Arial" w:cs="Arial" w:eastAsia="Arial" w:hAnsi="Arial"/>
        </w:rPr>
        <w:t xml:space="preserve">20</w:t>
      </w:r>
      <w:r>
        <w:rPr>
          <w:rFonts w:ascii="Arial" w:cs="Arial" w:eastAsia="Arial" w:hAnsi="Arial"/>
        </w:rPr>
        <w:t xml:space="preserve">____</w:t>
      </w:r>
      <w:r>
        <w:rPr>
          <w:rFonts w:ascii="Malgun Gothic" w:cs="Malgun Gothic" w:eastAsia="Malgun Gothic" w:hAnsi="Malgun Gothic"/>
        </w:rPr>
        <w:t xml:space="preserve"> 년 / Year   </w:t>
      </w:r>
      <w:r>
        <w:rPr>
          <w:rFonts w:ascii="Arial" w:cs="Arial" w:eastAsia="Arial" w:hAnsi="Arial"/>
        </w:rPr>
        <w:t xml:space="preserve">____</w:t>
      </w:r>
      <w:r>
        <w:rPr>
          <w:rFonts w:ascii="Malgun Gothic" w:cs="Malgun Gothic" w:eastAsia="Malgun Gothic" w:hAnsi="Malgun Gothic"/>
        </w:rPr>
        <w:t xml:space="preserve"> 월 / Month   </w:t>
      </w:r>
      <w:r>
        <w:rPr>
          <w:rFonts w:ascii="Arial" w:cs="Arial" w:eastAsia="Arial" w:hAnsi="Arial"/>
        </w:rPr>
        <w:t xml:space="preserve">____</w:t>
      </w:r>
      <w:r>
        <w:rPr>
          <w:rFonts w:ascii="Malgun Gothic" w:cs="Malgun Gothic" w:eastAsia="Malgun Gothic" w:hAnsi="Malgun Gothic"/>
        </w:rPr>
        <w:t xml:space="preserve"> 일 / Day</w:t>
      </w:r>
    </w:p>
    <w:p>
      <w:pPr>
        <w:spacing w:after="10" w:before="200"/>
      </w:pPr>
      <w:r>
        <w:rPr>
          <w:rFonts w:ascii="Malgun Gothic" w:cs="Malgun Gothic" w:eastAsia="Malgun Gothic" w:hAnsi="Malgun Gothic"/>
          <w:b/>
          <w:bCs/>
        </w:rPr>
        <w:t xml:space="preserve">[갑 ①] 서비스 공급자</w:t>
      </w:r>
    </w:p>
    <w:p>
      <w:pPr>
        <w:spacing w:after="60"/>
      </w:pPr>
      <w:r>
        <w:rPr>
          <w:rFonts w:ascii="Arial" w:cs="Arial" w:eastAsia="Arial" w:hAnsi="Arial"/>
          <w:b/>
          <w:bCs/>
          <w:color w:val="8C8C8C"/>
          <w:sz w:val="18"/>
          <w:szCs w:val="18"/>
        </w:rPr>
        <w:t xml:space="preserve">Party A ① Service Provider  /  </w:t>
      </w:r>
      <w:r>
        <w:rPr>
          <w:rFonts w:ascii="SimSun" w:cs="SimSun" w:eastAsia="SimSun" w:hAnsi="SimSun"/>
          <w:b/>
          <w:bCs/>
          <w:color w:val="8C8C8C"/>
          <w:sz w:val="18"/>
          <w:szCs w:val="18"/>
        </w:rPr>
        <w:t xml:space="preserve">甲方① 服务提供方</w:t>
      </w:r>
    </w:p>
    <w:p>
      <w:pPr>
        <w:spacing w:after="40"/>
      </w:pPr>
      <w:r>
        <w:rPr>
          <w:rFonts w:ascii="Malgun Gothic" w:cs="Malgun Gothic" w:eastAsia="Malgun Gothic" w:hAnsi="Malgun Gothic"/>
        </w:rPr>
        <w:t xml:space="preserve">주식회사 윗치박스</w:t>
      </w:r>
    </w:p>
    <w:p>
      <w:pPr>
        <w:spacing w:after="40"/>
      </w:pPr>
      <w:r>
        <w:rPr>
          <w:rFonts w:ascii="Arial" w:cs="Arial" w:eastAsia="Arial" w:hAnsi="Arial"/>
        </w:rPr>
        <w:t xml:space="preserve">사업자등록번호 / Reg. No. : 640-86-02251</w:t>
      </w:r>
    </w:p>
    <w:p>
      <w:pPr>
        <w:spacing w:after="40"/>
      </w:pPr>
      <w:r>
        <w:rPr>
          <w:rFonts w:ascii="Malgun Gothic" w:cs="Malgun Gothic" w:eastAsia="Malgun Gothic" w:hAnsi="Malgun Gothic"/>
        </w:rPr>
        <w:t xml:space="preserve">주소 : 충청남도 천안시 서북구 불당14로 48, 5층</w:t>
      </w:r>
    </w:p>
    <w:p>
      <w:pPr>
        <w:tabs>
          <w:tab w:val="right" w:pos="9026"/>
        </w:tabs>
        <w:spacing w:after="120" w:before="60"/>
      </w:pPr>
      <w:r>
        <w:rPr>
          <w:rFonts w:ascii="Malgun Gothic" w:cs="Malgun Gothic" w:eastAsia="Malgun Gothic" w:hAnsi="Malgun Gothic"/>
        </w:rPr>
        <w:t xml:space="preserve">대표자 / Representative / 代表 :  </w:t>
      </w:r>
      <w:r>
        <w:rPr>
          <w:rFonts w:ascii="Arial" w:cs="Arial" w:eastAsia="Arial" w:hAnsi="Arial"/>
        </w:rPr>
        <w:t xml:space="preserve">______________</w:t>
      </w:r>
      <w:r>
        <w:rPr>
          <w:rFonts w:ascii="Malgun Gothic" w:cs="Malgun Gothic" w:eastAsia="Malgun Gothic" w:hAnsi="Malgun Gothic"/>
          <w:color w:val="8C8C8C"/>
          <w:sz w:val="16"/>
          <w:szCs w:val="16"/>
        </w:rPr>
        <w:t xml:space="preserve">	(서명 또는 인 / Signature or Seal / 签字盖章)</w:t>
      </w:r>
    </w:p>
    <w:p>
      <w:pPr>
        <w:spacing w:after="10" w:before="200"/>
      </w:pPr>
      <w:r>
        <w:rPr>
          <w:rFonts w:ascii="Malgun Gothic" w:cs="Malgun Gothic" w:eastAsia="Malgun Gothic" w:hAnsi="Malgun Gothic"/>
          <w:b/>
          <w:bCs/>
        </w:rPr>
        <w:t xml:space="preserve">[갑 ②] 정산 운영사</w:t>
      </w:r>
    </w:p>
    <w:p>
      <w:pPr>
        <w:spacing w:after="60"/>
      </w:pPr>
      <w:r>
        <w:rPr>
          <w:rFonts w:ascii="Arial" w:cs="Arial" w:eastAsia="Arial" w:hAnsi="Arial"/>
          <w:b/>
          <w:bCs/>
          <w:color w:val="8C8C8C"/>
          <w:sz w:val="18"/>
          <w:szCs w:val="18"/>
        </w:rPr>
        <w:t xml:space="preserve">Party A ② Settlement Operator  /  </w:t>
      </w:r>
      <w:r>
        <w:rPr>
          <w:rFonts w:ascii="SimSun" w:cs="SimSun" w:eastAsia="SimSun" w:hAnsi="SimSun"/>
          <w:b/>
          <w:bCs/>
          <w:color w:val="8C8C8C"/>
          <w:sz w:val="18"/>
          <w:szCs w:val="18"/>
        </w:rPr>
        <w:t xml:space="preserve">甲方② 结算运营方</w:t>
      </w:r>
    </w:p>
    <w:p>
      <w:pPr>
        <w:spacing w:after="40"/>
      </w:pPr>
      <w:r>
        <w:rPr>
          <w:rFonts w:ascii="Arial" w:cs="Arial" w:eastAsia="Arial" w:hAnsi="Arial"/>
        </w:rPr>
        <w:t xml:space="preserve">EDUPIM GLOBAL PTE. LTD.</w:t>
      </w:r>
    </w:p>
    <w:p>
      <w:pPr>
        <w:spacing w:after="40"/>
      </w:pPr>
      <w:r>
        <w:rPr>
          <w:rFonts w:ascii="Arial" w:cs="Arial" w:eastAsia="Arial" w:hAnsi="Arial"/>
        </w:rPr>
        <w:t xml:space="preserve">UEN : 202552251N</w:t>
      </w:r>
    </w:p>
    <w:p>
      <w:pPr>
        <w:spacing w:after="40"/>
      </w:pPr>
      <w:r>
        <w:rPr>
          <w:rFonts w:ascii="Arial" w:cs="Arial" w:eastAsia="Arial" w:hAnsi="Arial"/>
        </w:rPr>
        <w:t xml:space="preserve">Address : 111 Somerset Road, #06-01E, Singapore 238164</w:t>
      </w:r>
    </w:p>
    <w:p>
      <w:pPr>
        <w:tabs>
          <w:tab w:val="right" w:pos="9026"/>
        </w:tabs>
        <w:spacing w:after="120" w:before="60"/>
      </w:pPr>
      <w:r>
        <w:rPr>
          <w:rFonts w:ascii="Malgun Gothic" w:cs="Malgun Gothic" w:eastAsia="Malgun Gothic" w:hAnsi="Malgun Gothic"/>
        </w:rPr>
        <w:t xml:space="preserve">대표자 / Representative / 代表 :  </w:t>
      </w:r>
      <w:r>
        <w:rPr>
          <w:rFonts w:ascii="Arial" w:cs="Arial" w:eastAsia="Arial" w:hAnsi="Arial"/>
        </w:rPr>
        <w:t xml:space="preserve">______________</w:t>
      </w:r>
      <w:r>
        <w:rPr>
          <w:rFonts w:ascii="Malgun Gothic" w:cs="Malgun Gothic" w:eastAsia="Malgun Gothic" w:hAnsi="Malgun Gothic"/>
          <w:color w:val="8C8C8C"/>
          <w:sz w:val="16"/>
          <w:szCs w:val="16"/>
        </w:rPr>
        <w:t xml:space="preserve">	(서명 또는 인 / Signature or Seal / 签字盖章)</w:t>
      </w:r>
    </w:p>
    <w:p>
      <w:pPr>
        <w:spacing w:after="10" w:before="200"/>
      </w:pPr>
      <w:r>
        <w:rPr>
          <w:rFonts w:ascii="Malgun Gothic" w:cs="Malgun Gothic" w:eastAsia="Malgun Gothic" w:hAnsi="Malgun Gothic"/>
          <w:b/>
          <w:bCs/>
        </w:rPr>
        <w:t xml:space="preserve">[을] 프로 리셀러</w:t>
      </w:r>
    </w:p>
    <w:p>
      <w:pPr>
        <w:spacing w:after="60"/>
      </w:pPr>
      <w:r>
        <w:rPr>
          <w:rFonts w:ascii="Arial" w:cs="Arial" w:eastAsia="Arial" w:hAnsi="Arial"/>
          <w:b/>
          <w:bCs/>
          <w:color w:val="8C8C8C"/>
          <w:sz w:val="18"/>
          <w:szCs w:val="18"/>
        </w:rPr>
        <w:t xml:space="preserve">Party B Pro Reseller  /  </w:t>
      </w:r>
      <w:r>
        <w:rPr>
          <w:rFonts w:ascii="SimSun" w:cs="SimSun" w:eastAsia="SimSun" w:hAnsi="SimSun"/>
          <w:b/>
          <w:bCs/>
          <w:color w:val="8C8C8C"/>
          <w:sz w:val="18"/>
          <w:szCs w:val="18"/>
        </w:rPr>
        <w:t xml:space="preserve">乙方 专业经销商</w:t>
      </w:r>
    </w:p>
    <w:p>
      <w:pPr>
        <w:spacing w:after="40"/>
      </w:pPr>
      <w:r>
        <w:rPr>
          <w:rFonts w:ascii="Malgun Gothic" w:cs="Malgun Gothic" w:eastAsia="Malgun Gothic" w:hAnsi="Malgun Gothic"/>
        </w:rPr>
        <w:t xml:space="preserve">상호 / Company / 公司 : ______________</w:t>
      </w:r>
    </w:p>
    <w:p>
      <w:pPr>
        <w:spacing w:after="40"/>
      </w:pPr>
      <w:r>
        <w:rPr>
          <w:rFonts w:ascii="Arial" w:cs="Arial" w:eastAsia="Arial" w:hAnsi="Arial"/>
        </w:rPr>
        <w:t xml:space="preserve">사업자등록번호 / Reg. No. : ______________</w:t>
      </w:r>
    </w:p>
    <w:p>
      <w:pPr>
        <w:spacing w:after="40"/>
      </w:pPr>
      <w:r>
        <w:rPr>
          <w:rFonts w:ascii="Malgun Gothic" w:cs="Malgun Gothic" w:eastAsia="Malgun Gothic" w:hAnsi="Malgun Gothic"/>
        </w:rPr>
        <w:t xml:space="preserve">주소 / Address / 地址 : ______________</w:t>
      </w:r>
    </w:p>
    <w:p>
      <w:pPr>
        <w:tabs>
          <w:tab w:val="right" w:pos="9026"/>
        </w:tabs>
        <w:spacing w:after="120" w:before="60"/>
      </w:pPr>
      <w:r>
        <w:rPr>
          <w:rFonts w:ascii="Malgun Gothic" w:cs="Malgun Gothic" w:eastAsia="Malgun Gothic" w:hAnsi="Malgun Gothic"/>
        </w:rPr>
        <w:t xml:space="preserve">대표자 / Representative / 代表 :  </w:t>
      </w:r>
      <w:r>
        <w:rPr>
          <w:rFonts w:ascii="Arial" w:cs="Arial" w:eastAsia="Arial" w:hAnsi="Arial"/>
        </w:rPr>
        <w:t xml:space="preserve">______________</w:t>
      </w:r>
      <w:r>
        <w:rPr>
          <w:rFonts w:ascii="Malgun Gothic" w:cs="Malgun Gothic" w:eastAsia="Malgun Gothic" w:hAnsi="Malgun Gothic"/>
          <w:color w:val="8C8C8C"/>
          <w:sz w:val="16"/>
          <w:szCs w:val="16"/>
        </w:rPr>
        <w:t xml:space="preserve">	(서명 또는 인 / Signature or Seal / 签字盖章)</w:t>
      </w:r>
    </w:p>
    <w:p>
      <w:r>
        <w:br w:type="page"/>
      </w:r>
    </w:p>
    <w:p>
      <w:pPr>
        <w:spacing w:after="30"/>
      </w:pPr>
      <w:r>
        <w:rPr>
          <w:rFonts w:ascii="Malgun Gothic" w:cs="Malgun Gothic" w:eastAsia="Malgun Gothic" w:hAnsi="Malgun Gothic"/>
          <w:b/>
          <w:bCs/>
          <w:sz w:val="26"/>
          <w:szCs w:val="26"/>
        </w:rPr>
        <w:t xml:space="preserve">[별첨 1] PAC 연 계약 기준표</w:t>
      </w:r>
    </w:p>
    <w:p>
      <w:pPr>
        <w:spacing w:after="120"/>
      </w:pPr>
      <w:r>
        <w:rPr>
          <w:rFonts w:ascii="Arial" w:cs="Arial" w:eastAsia="Arial" w:hAnsi="Arial"/>
          <w:b/>
          <w:bCs/>
          <w:color w:val="1F3864"/>
          <w:sz w:val="18"/>
          <w:szCs w:val="18"/>
        </w:rPr>
        <w:t xml:space="preserve">Annex 1: PAC Annual Contract Schedule  /  附件1：PAC 年度合同基准表</w:t>
      </w:r>
    </w:p>
    <w:p>
      <w:pPr>
        <w:spacing w:after="10" w:line="276"/>
      </w:pPr>
      <w:r>
        <w:rPr>
          <w:rFonts w:ascii="Malgun Gothic" w:cs="Malgun Gothic" w:eastAsia="Malgun Gothic" w:hAnsi="Malgun Gothic"/>
          <w:color w:val="8C8C8C"/>
          <w:sz w:val="18"/>
          <w:szCs w:val="18"/>
        </w:rPr>
        <w:t xml:space="preserve">연 단위 계약은 할인 상품이 아닌 “대규모 운영 안정 옵션”으로 제공된다. 월 환산·체감 혜택은 참고용이며, 실제 청구는 연 금액 기준으로 한다.</w:t>
      </w:r>
    </w:p>
    <w:p>
      <w:pPr>
        <w:spacing w:after="10" w:line="276"/>
      </w:pPr>
      <w:r>
        <w:rPr>
          <w:rFonts w:ascii="Arial" w:cs="Arial" w:eastAsia="Arial" w:hAnsi="Arial"/>
          <w:color w:val="8C8C8C"/>
          <w:sz w:val="18"/>
          <w:szCs w:val="18"/>
        </w:rPr>
        <w:t xml:space="preserve">The annual contract is offered not as a discount product but as a “large-scale stable-operation option.” Monthly equivalents and effective benefits are for reference only; actual billing is based on the annual amount.</w:t>
      </w:r>
    </w:p>
    <w:p>
      <w:pPr>
        <w:spacing w:after="120" w:line="276"/>
      </w:pPr>
      <w:r>
        <w:rPr>
          <w:rFonts w:ascii="SimSun" w:cs="SimSun" w:eastAsia="SimSun" w:hAnsi="SimSun"/>
          <w:color w:val="8C8C8C"/>
          <w:sz w:val="18"/>
          <w:szCs w:val="18"/>
        </w:rPr>
        <w:t xml:space="preserve">年度合同并非折扣产品，而是作为“大规模稳定运营选项”提供。月折算与实际优惠仅供参考，实际计费以年费为准。</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240"/>
        <w:gridCol w:w="2420"/>
        <w:gridCol w:w="2340"/>
        <w:gridCol w:w="1760"/>
      </w:tblGrid>
      <w:tr>
        <w:trPr>
          <w:tblHeader/>
        </w:trPr>
        <w:tc>
          <w:tcPr>
            <w:tcW w:type="dxa" w:w="1600"/>
            <w:tcBorders>
              <w:top w:val="single" w:color="BFBFBF" w:sz="1"/>
              <w:left w:val="single" w:color="BFBFBF" w:sz="1"/>
              <w:bottom w:val="single" w:color="BFBFBF" w:sz="1"/>
              <w:right w:val="single" w:color="BFBFBF" w:sz="1"/>
            </w:tcBorders>
            <w:shd w:fill="1F3864" w:val="clear"/>
            <w:tcMar>
              <w:top w:type="dxa" w:w="70"/>
              <w:left w:type="dxa" w:w="110"/>
              <w:bottom w:type="dxa" w:w="70"/>
              <w:right w:type="dxa" w:w="110"/>
            </w:tcMar>
            <w:vAlign w:val="center"/>
          </w:tcPr>
          <w:p>
            <w:pPr>
              <w:spacing w:after="10"/>
              <w:jc w:val="center"/>
            </w:pPr>
            <w:r>
              <w:rPr>
                <w:rFonts w:ascii="Malgun Gothic" w:cs="Malgun Gothic" w:eastAsia="Malgun Gothic" w:hAnsi="Malgun Gothic"/>
                <w:b/>
                <w:bCs/>
                <w:color w:val="FFFFFF"/>
                <w:sz w:val="19"/>
                <w:szCs w:val="19"/>
              </w:rPr>
              <w:t xml:space="preserve">구분</w:t>
            </w:r>
          </w:p>
          <w:p>
            <w:pPr>
              <w:spacing w:after="10"/>
              <w:jc w:val="center"/>
            </w:pPr>
            <w:r>
              <w:rPr>
                <w:rFonts w:ascii="Arial" w:cs="Arial" w:eastAsia="Arial" w:hAnsi="Arial"/>
                <w:b/>
                <w:bCs/>
                <w:color w:val="FFFFFF"/>
                <w:sz w:val="15"/>
                <w:szCs w:val="15"/>
              </w:rPr>
              <w:t xml:space="preserve">Plan</w:t>
            </w:r>
          </w:p>
          <w:p>
            <w:pPr>
              <w:spacing w:after="0"/>
              <w:jc w:val="center"/>
            </w:pPr>
            <w:r>
              <w:rPr>
                <w:rFonts w:ascii="SimSun" w:cs="SimSun" w:eastAsia="SimSun" w:hAnsi="SimSun"/>
                <w:b/>
                <w:bCs/>
                <w:color w:val="FFFFFF"/>
                <w:sz w:val="15"/>
                <w:szCs w:val="15"/>
              </w:rPr>
              <w:t xml:space="preserve">等级</w:t>
            </w:r>
          </w:p>
        </w:tc>
        <w:tc>
          <w:tcPr>
            <w:tcW w:type="dxa" w:w="1240"/>
            <w:tcBorders>
              <w:top w:val="single" w:color="BFBFBF" w:sz="1"/>
              <w:left w:val="single" w:color="BFBFBF" w:sz="1"/>
              <w:bottom w:val="single" w:color="BFBFBF" w:sz="1"/>
              <w:right w:val="single" w:color="BFBFBF" w:sz="1"/>
            </w:tcBorders>
            <w:shd w:fill="1F3864" w:val="clear"/>
            <w:tcMar>
              <w:top w:type="dxa" w:w="70"/>
              <w:left w:type="dxa" w:w="110"/>
              <w:bottom w:type="dxa" w:w="70"/>
              <w:right w:type="dxa" w:w="110"/>
            </w:tcMar>
            <w:vAlign w:val="center"/>
          </w:tcPr>
          <w:p>
            <w:pPr>
              <w:spacing w:after="10"/>
              <w:jc w:val="center"/>
            </w:pPr>
            <w:r>
              <w:rPr>
                <w:rFonts w:ascii="Malgun Gothic" w:cs="Malgun Gothic" w:eastAsia="Malgun Gothic" w:hAnsi="Malgun Gothic"/>
                <w:b/>
                <w:bCs/>
                <w:color w:val="FFFFFF"/>
                <w:sz w:val="19"/>
                <w:szCs w:val="19"/>
              </w:rPr>
              <w:t xml:space="preserve">제공 용량</w:t>
            </w:r>
          </w:p>
          <w:p>
            <w:pPr>
              <w:spacing w:after="10"/>
              <w:jc w:val="center"/>
            </w:pPr>
            <w:r>
              <w:rPr>
                <w:rFonts w:ascii="Arial" w:cs="Arial" w:eastAsia="Arial" w:hAnsi="Arial"/>
                <w:b/>
                <w:bCs/>
                <w:color w:val="FFFFFF"/>
                <w:sz w:val="15"/>
                <w:szCs w:val="15"/>
              </w:rPr>
              <w:t xml:space="preserve">Storage</w:t>
            </w:r>
          </w:p>
          <w:p>
            <w:pPr>
              <w:spacing w:after="0"/>
              <w:jc w:val="center"/>
            </w:pPr>
            <w:r>
              <w:rPr>
                <w:rFonts w:ascii="SimSun" w:cs="SimSun" w:eastAsia="SimSun" w:hAnsi="SimSun"/>
                <w:b/>
                <w:bCs/>
                <w:color w:val="FFFFFF"/>
                <w:sz w:val="15"/>
                <w:szCs w:val="15"/>
              </w:rPr>
              <w:t xml:space="preserve">容量</w:t>
            </w:r>
          </w:p>
        </w:tc>
        <w:tc>
          <w:tcPr>
            <w:tcW w:type="dxa" w:w="2420"/>
            <w:tcBorders>
              <w:top w:val="single" w:color="BFBFBF" w:sz="1"/>
              <w:left w:val="single" w:color="BFBFBF" w:sz="1"/>
              <w:bottom w:val="single" w:color="BFBFBF" w:sz="1"/>
              <w:right w:val="single" w:color="BFBFBF" w:sz="1"/>
            </w:tcBorders>
            <w:shd w:fill="1F3864" w:val="clear"/>
            <w:tcMar>
              <w:top w:type="dxa" w:w="70"/>
              <w:left w:type="dxa" w:w="110"/>
              <w:bottom w:type="dxa" w:w="70"/>
              <w:right w:type="dxa" w:w="110"/>
            </w:tcMar>
            <w:vAlign w:val="center"/>
          </w:tcPr>
          <w:p>
            <w:pPr>
              <w:spacing w:after="10"/>
              <w:jc w:val="center"/>
            </w:pPr>
            <w:r>
              <w:rPr>
                <w:rFonts w:ascii="Malgun Gothic" w:cs="Malgun Gothic" w:eastAsia="Malgun Gothic" w:hAnsi="Malgun Gothic"/>
                <w:b/>
                <w:bCs/>
                <w:color w:val="FFFFFF"/>
                <w:sz w:val="19"/>
                <w:szCs w:val="19"/>
              </w:rPr>
              <w:t xml:space="preserve">연 금액</w:t>
            </w:r>
          </w:p>
          <w:p>
            <w:pPr>
              <w:spacing w:after="10"/>
              <w:jc w:val="center"/>
            </w:pPr>
            <w:r>
              <w:rPr>
                <w:rFonts w:ascii="Arial" w:cs="Arial" w:eastAsia="Arial" w:hAnsi="Arial"/>
                <w:b/>
                <w:bCs/>
                <w:color w:val="FFFFFF"/>
                <w:sz w:val="15"/>
                <w:szCs w:val="15"/>
              </w:rPr>
              <w:t xml:space="preserve">Annual Fee</w:t>
            </w:r>
          </w:p>
          <w:p>
            <w:pPr>
              <w:spacing w:after="0"/>
              <w:jc w:val="center"/>
            </w:pPr>
            <w:r>
              <w:rPr>
                <w:rFonts w:ascii="SimSun" w:cs="SimSun" w:eastAsia="SimSun" w:hAnsi="SimSun"/>
                <w:b/>
                <w:bCs/>
                <w:color w:val="FFFFFF"/>
                <w:sz w:val="15"/>
                <w:szCs w:val="15"/>
              </w:rPr>
              <w:t xml:space="preserve">年费</w:t>
            </w:r>
          </w:p>
        </w:tc>
        <w:tc>
          <w:tcPr>
            <w:tcW w:type="dxa" w:w="2340"/>
            <w:tcBorders>
              <w:top w:val="single" w:color="BFBFBF" w:sz="1"/>
              <w:left w:val="single" w:color="BFBFBF" w:sz="1"/>
              <w:bottom w:val="single" w:color="BFBFBF" w:sz="1"/>
              <w:right w:val="single" w:color="BFBFBF" w:sz="1"/>
            </w:tcBorders>
            <w:shd w:fill="1F3864" w:val="clear"/>
            <w:tcMar>
              <w:top w:type="dxa" w:w="70"/>
              <w:left w:type="dxa" w:w="110"/>
              <w:bottom w:type="dxa" w:w="70"/>
              <w:right w:type="dxa" w:w="110"/>
            </w:tcMar>
            <w:vAlign w:val="center"/>
          </w:tcPr>
          <w:p>
            <w:pPr>
              <w:spacing w:after="10"/>
              <w:jc w:val="center"/>
            </w:pPr>
            <w:r>
              <w:rPr>
                <w:rFonts w:ascii="Malgun Gothic" w:cs="Malgun Gothic" w:eastAsia="Malgun Gothic" w:hAnsi="Malgun Gothic"/>
                <w:b/>
                <w:bCs/>
                <w:color w:val="FFFFFF"/>
                <w:sz w:val="19"/>
                <w:szCs w:val="19"/>
              </w:rPr>
              <w:t xml:space="preserve">월 환산</w:t>
            </w:r>
          </w:p>
          <w:p>
            <w:pPr>
              <w:spacing w:after="10"/>
              <w:jc w:val="center"/>
            </w:pPr>
            <w:r>
              <w:rPr>
                <w:rFonts w:ascii="Arial" w:cs="Arial" w:eastAsia="Arial" w:hAnsi="Arial"/>
                <w:b/>
                <w:bCs/>
                <w:color w:val="FFFFFF"/>
                <w:sz w:val="15"/>
                <w:szCs w:val="15"/>
              </w:rPr>
              <w:t xml:space="preserve">Monthly Eq.</w:t>
            </w:r>
          </w:p>
          <w:p>
            <w:pPr>
              <w:spacing w:after="0"/>
              <w:jc w:val="center"/>
            </w:pPr>
            <w:r>
              <w:rPr>
                <w:rFonts w:ascii="SimSun" w:cs="SimSun" w:eastAsia="SimSun" w:hAnsi="SimSun"/>
                <w:b/>
                <w:bCs/>
                <w:color w:val="FFFFFF"/>
                <w:sz w:val="15"/>
                <w:szCs w:val="15"/>
              </w:rPr>
              <w:t xml:space="preserve">月折算</w:t>
            </w:r>
          </w:p>
        </w:tc>
        <w:tc>
          <w:tcPr>
            <w:tcW w:type="dxa" w:w="1760"/>
            <w:tcBorders>
              <w:top w:val="single" w:color="BFBFBF" w:sz="1"/>
              <w:left w:val="single" w:color="BFBFBF" w:sz="1"/>
              <w:bottom w:val="single" w:color="BFBFBF" w:sz="1"/>
              <w:right w:val="single" w:color="BFBFBF" w:sz="1"/>
            </w:tcBorders>
            <w:shd w:fill="1F3864" w:val="clear"/>
            <w:tcMar>
              <w:top w:type="dxa" w:w="70"/>
              <w:left w:type="dxa" w:w="110"/>
              <w:bottom w:type="dxa" w:w="70"/>
              <w:right w:type="dxa" w:w="110"/>
            </w:tcMar>
            <w:vAlign w:val="center"/>
          </w:tcPr>
          <w:p>
            <w:pPr>
              <w:spacing w:after="10"/>
              <w:jc w:val="center"/>
            </w:pPr>
            <w:r>
              <w:rPr>
                <w:rFonts w:ascii="Malgun Gothic" w:cs="Malgun Gothic" w:eastAsia="Malgun Gothic" w:hAnsi="Malgun Gothic"/>
                <w:b/>
                <w:bCs/>
                <w:color w:val="FFFFFF"/>
                <w:sz w:val="19"/>
                <w:szCs w:val="19"/>
              </w:rPr>
              <w:t xml:space="preserve">체감 혜택</w:t>
            </w:r>
          </w:p>
          <w:p>
            <w:pPr>
              <w:spacing w:after="10"/>
              <w:jc w:val="center"/>
            </w:pPr>
            <w:r>
              <w:rPr>
                <w:rFonts w:ascii="Arial" w:cs="Arial" w:eastAsia="Arial" w:hAnsi="Arial"/>
                <w:b/>
                <w:bCs/>
                <w:color w:val="FFFFFF"/>
                <w:sz w:val="15"/>
                <w:szCs w:val="15"/>
              </w:rPr>
              <w:t xml:space="preserve">Benefit</w:t>
            </w:r>
          </w:p>
          <w:p>
            <w:pPr>
              <w:spacing w:after="0"/>
              <w:jc w:val="center"/>
            </w:pPr>
            <w:r>
              <w:rPr>
                <w:rFonts w:ascii="SimSun" w:cs="SimSun" w:eastAsia="SimSun" w:hAnsi="SimSun"/>
                <w:b/>
                <w:bCs/>
                <w:color w:val="FFFFFF"/>
                <w:sz w:val="15"/>
                <w:szCs w:val="15"/>
              </w:rPr>
              <w:t xml:space="preserve">实际优惠</w:t>
            </w:r>
          </w:p>
        </w:tc>
      </w:tr>
      <w:tr>
        <w:tc>
          <w:tcPr>
            <w:tcW w:type="dxa" w:w="16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b/>
                <w:bCs/>
                <w:color w:val="000000"/>
                <w:sz w:val="19"/>
                <w:szCs w:val="19"/>
              </w:rPr>
              <w:t xml:space="preserve">PAC Basic</w:t>
            </w:r>
          </w:p>
        </w:tc>
        <w:tc>
          <w:tcPr>
            <w:tcW w:type="dxa" w:w="12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50GB</w:t>
            </w:r>
          </w:p>
        </w:tc>
        <w:tc>
          <w:tcPr>
            <w:tcW w:type="dxa" w:w="242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4,200,000원</w:t>
            </w:r>
          </w:p>
          <w:p>
            <w:pPr>
              <w:spacing w:after="0"/>
              <w:jc w:val="right"/>
            </w:pPr>
            <w:r>
              <w:rPr>
                <w:rFonts w:ascii="Arial" w:cs="Arial" w:eastAsia="Arial" w:hAnsi="Arial"/>
                <w:color w:val="8C8C8C"/>
                <w:sz w:val="16"/>
                <w:szCs w:val="16"/>
              </w:rPr>
              <w:t xml:space="preserve">US$3,360</w:t>
            </w:r>
          </w:p>
        </w:tc>
        <w:tc>
          <w:tcPr>
            <w:tcW w:type="dxa" w:w="23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350,000원</w:t>
            </w:r>
          </w:p>
          <w:p>
            <w:pPr>
              <w:spacing w:after="0"/>
              <w:jc w:val="right"/>
            </w:pPr>
            <w:r>
              <w:rPr>
                <w:rFonts w:ascii="Arial" w:cs="Arial" w:eastAsia="Arial" w:hAnsi="Arial"/>
                <w:color w:val="8C8C8C"/>
                <w:sz w:val="16"/>
                <w:szCs w:val="16"/>
              </w:rPr>
              <w:t xml:space="preserve">US$280</w:t>
            </w:r>
          </w:p>
        </w:tc>
        <w:tc>
          <w:tcPr>
            <w:tcW w:type="dxa" w:w="17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≈10%</w:t>
            </w:r>
          </w:p>
        </w:tc>
      </w:tr>
      <w:tr>
        <w:tc>
          <w:tcPr>
            <w:tcW w:type="dxa" w:w="16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b/>
                <w:bCs/>
                <w:color w:val="000000"/>
                <w:sz w:val="19"/>
                <w:szCs w:val="19"/>
              </w:rPr>
              <w:t xml:space="preserve">PAC Standard</w:t>
            </w:r>
          </w:p>
        </w:tc>
        <w:tc>
          <w:tcPr>
            <w:tcW w:type="dxa" w:w="12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100GB</w:t>
            </w:r>
          </w:p>
        </w:tc>
        <w:tc>
          <w:tcPr>
            <w:tcW w:type="dxa" w:w="242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7,400,000원</w:t>
            </w:r>
          </w:p>
          <w:p>
            <w:pPr>
              <w:spacing w:after="0"/>
              <w:jc w:val="right"/>
            </w:pPr>
            <w:r>
              <w:rPr>
                <w:rFonts w:ascii="Arial" w:cs="Arial" w:eastAsia="Arial" w:hAnsi="Arial"/>
                <w:color w:val="8C8C8C"/>
                <w:sz w:val="16"/>
                <w:szCs w:val="16"/>
              </w:rPr>
              <w:t xml:space="preserve">US$5,920</w:t>
            </w:r>
          </w:p>
        </w:tc>
        <w:tc>
          <w:tcPr>
            <w:tcW w:type="dxa" w:w="23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616,000원</w:t>
            </w:r>
          </w:p>
          <w:p>
            <w:pPr>
              <w:spacing w:after="0"/>
              <w:jc w:val="right"/>
            </w:pPr>
            <w:r>
              <w:rPr>
                <w:rFonts w:ascii="Arial" w:cs="Arial" w:eastAsia="Arial" w:hAnsi="Arial"/>
                <w:color w:val="8C8C8C"/>
                <w:sz w:val="16"/>
                <w:szCs w:val="16"/>
              </w:rPr>
              <w:t xml:space="preserve">US$492.80</w:t>
            </w:r>
          </w:p>
        </w:tc>
        <w:tc>
          <w:tcPr>
            <w:tcW w:type="dxa" w:w="17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≈11%</w:t>
            </w:r>
          </w:p>
        </w:tc>
      </w:tr>
      <w:tr>
        <w:tc>
          <w:tcPr>
            <w:tcW w:type="dxa" w:w="16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b/>
                <w:bCs/>
                <w:color w:val="000000"/>
                <w:sz w:val="19"/>
                <w:szCs w:val="19"/>
              </w:rPr>
              <w:t xml:space="preserve">PAC Pro</w:t>
            </w:r>
          </w:p>
        </w:tc>
        <w:tc>
          <w:tcPr>
            <w:tcW w:type="dxa" w:w="12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200GB</w:t>
            </w:r>
          </w:p>
        </w:tc>
        <w:tc>
          <w:tcPr>
            <w:tcW w:type="dxa" w:w="242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13,800,000원</w:t>
            </w:r>
          </w:p>
          <w:p>
            <w:pPr>
              <w:spacing w:after="0"/>
              <w:jc w:val="right"/>
            </w:pPr>
            <w:r>
              <w:rPr>
                <w:rFonts w:ascii="Arial" w:cs="Arial" w:eastAsia="Arial" w:hAnsi="Arial"/>
                <w:color w:val="8C8C8C"/>
                <w:sz w:val="16"/>
                <w:szCs w:val="16"/>
              </w:rPr>
              <w:t xml:space="preserve">US$11,040</w:t>
            </w:r>
          </w:p>
        </w:tc>
        <w:tc>
          <w:tcPr>
            <w:tcW w:type="dxa" w:w="23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1,150,000원</w:t>
            </w:r>
          </w:p>
          <w:p>
            <w:pPr>
              <w:spacing w:after="0"/>
              <w:jc w:val="right"/>
            </w:pPr>
            <w:r>
              <w:rPr>
                <w:rFonts w:ascii="Arial" w:cs="Arial" w:eastAsia="Arial" w:hAnsi="Arial"/>
                <w:color w:val="8C8C8C"/>
                <w:sz w:val="16"/>
                <w:szCs w:val="16"/>
              </w:rPr>
              <w:t xml:space="preserve">US$920</w:t>
            </w:r>
          </w:p>
        </w:tc>
        <w:tc>
          <w:tcPr>
            <w:tcW w:type="dxa" w:w="17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≈11%</w:t>
            </w:r>
          </w:p>
        </w:tc>
      </w:tr>
      <w:tr>
        <w:tc>
          <w:tcPr>
            <w:tcW w:type="dxa" w:w="16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b/>
                <w:bCs/>
                <w:color w:val="000000"/>
                <w:sz w:val="19"/>
                <w:szCs w:val="19"/>
              </w:rPr>
              <w:t xml:space="preserve">PAC Scale</w:t>
            </w:r>
          </w:p>
        </w:tc>
        <w:tc>
          <w:tcPr>
            <w:tcW w:type="dxa" w:w="12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500GB</w:t>
            </w:r>
          </w:p>
        </w:tc>
        <w:tc>
          <w:tcPr>
            <w:tcW w:type="dxa" w:w="242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31,000,000원</w:t>
            </w:r>
          </w:p>
          <w:p>
            <w:pPr>
              <w:spacing w:after="0"/>
              <w:jc w:val="right"/>
            </w:pPr>
            <w:r>
              <w:rPr>
                <w:rFonts w:ascii="Arial" w:cs="Arial" w:eastAsia="Arial" w:hAnsi="Arial"/>
                <w:color w:val="8C8C8C"/>
                <w:sz w:val="16"/>
                <w:szCs w:val="16"/>
              </w:rPr>
              <w:t xml:space="preserve">US$24,800</w:t>
            </w:r>
          </w:p>
        </w:tc>
        <w:tc>
          <w:tcPr>
            <w:tcW w:type="dxa" w:w="23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2,580,000원</w:t>
            </w:r>
          </w:p>
          <w:p>
            <w:pPr>
              <w:spacing w:after="0"/>
              <w:jc w:val="right"/>
            </w:pPr>
            <w:r>
              <w:rPr>
                <w:rFonts w:ascii="Arial" w:cs="Arial" w:eastAsia="Arial" w:hAnsi="Arial"/>
                <w:color w:val="8C8C8C"/>
                <w:sz w:val="16"/>
                <w:szCs w:val="16"/>
              </w:rPr>
              <w:t xml:space="preserve">US$2,064</w:t>
            </w:r>
          </w:p>
        </w:tc>
        <w:tc>
          <w:tcPr>
            <w:tcW w:type="dxa" w:w="17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≈11%</w:t>
            </w:r>
          </w:p>
        </w:tc>
      </w:tr>
      <w:tr>
        <w:tc>
          <w:tcPr>
            <w:tcW w:type="dxa" w:w="16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b/>
                <w:bCs/>
                <w:color w:val="000000"/>
                <w:sz w:val="19"/>
                <w:szCs w:val="19"/>
              </w:rPr>
              <w:t xml:space="preserve">PAC Enterprise</w:t>
            </w:r>
          </w:p>
        </w:tc>
        <w:tc>
          <w:tcPr>
            <w:tcW w:type="dxa" w:w="12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1TB</w:t>
            </w:r>
          </w:p>
        </w:tc>
        <w:tc>
          <w:tcPr>
            <w:tcW w:type="dxa" w:w="242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52,000,000원</w:t>
            </w:r>
          </w:p>
          <w:p>
            <w:pPr>
              <w:spacing w:after="0"/>
              <w:jc w:val="right"/>
            </w:pPr>
            <w:r>
              <w:rPr>
                <w:rFonts w:ascii="Arial" w:cs="Arial" w:eastAsia="Arial" w:hAnsi="Arial"/>
                <w:color w:val="8C8C8C"/>
                <w:sz w:val="16"/>
                <w:szCs w:val="16"/>
              </w:rPr>
              <w:t xml:space="preserve">US$41,600</w:t>
            </w:r>
          </w:p>
        </w:tc>
        <w:tc>
          <w:tcPr>
            <w:tcW w:type="dxa" w:w="23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4,330,000원</w:t>
            </w:r>
          </w:p>
          <w:p>
            <w:pPr>
              <w:spacing w:after="0"/>
              <w:jc w:val="right"/>
            </w:pPr>
            <w:r>
              <w:rPr>
                <w:rFonts w:ascii="Arial" w:cs="Arial" w:eastAsia="Arial" w:hAnsi="Arial"/>
                <w:color w:val="8C8C8C"/>
                <w:sz w:val="16"/>
                <w:szCs w:val="16"/>
              </w:rPr>
              <w:t xml:space="preserve">US$3,464</w:t>
            </w:r>
          </w:p>
        </w:tc>
        <w:tc>
          <w:tcPr>
            <w:tcW w:type="dxa" w:w="17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≈12%</w:t>
            </w:r>
          </w:p>
        </w:tc>
      </w:tr>
      <w:tr>
        <w:tc>
          <w:tcPr>
            <w:tcW w:type="dxa" w:w="16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b/>
                <w:bCs/>
                <w:color w:val="000000"/>
                <w:sz w:val="19"/>
                <w:szCs w:val="19"/>
              </w:rPr>
              <w:t xml:space="preserve">PAC Enterprise+</w:t>
            </w:r>
          </w:p>
        </w:tc>
        <w:tc>
          <w:tcPr>
            <w:tcW w:type="dxa" w:w="12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2TB</w:t>
            </w:r>
          </w:p>
        </w:tc>
        <w:tc>
          <w:tcPr>
            <w:tcW w:type="dxa" w:w="242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94,000,000원</w:t>
            </w:r>
          </w:p>
          <w:p>
            <w:pPr>
              <w:spacing w:after="0"/>
              <w:jc w:val="right"/>
            </w:pPr>
            <w:r>
              <w:rPr>
                <w:rFonts w:ascii="Arial" w:cs="Arial" w:eastAsia="Arial" w:hAnsi="Arial"/>
                <w:color w:val="8C8C8C"/>
                <w:sz w:val="16"/>
                <w:szCs w:val="16"/>
              </w:rPr>
              <w:t xml:space="preserve">US$75,200</w:t>
            </w:r>
          </w:p>
        </w:tc>
        <w:tc>
          <w:tcPr>
            <w:tcW w:type="dxa" w:w="23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7,830,000원</w:t>
            </w:r>
          </w:p>
          <w:p>
            <w:pPr>
              <w:spacing w:after="0"/>
              <w:jc w:val="right"/>
            </w:pPr>
            <w:r>
              <w:rPr>
                <w:rFonts w:ascii="Arial" w:cs="Arial" w:eastAsia="Arial" w:hAnsi="Arial"/>
                <w:color w:val="8C8C8C"/>
                <w:sz w:val="16"/>
                <w:szCs w:val="16"/>
              </w:rPr>
              <w:t xml:space="preserve">US$6,264</w:t>
            </w:r>
          </w:p>
        </w:tc>
        <w:tc>
          <w:tcPr>
            <w:tcW w:type="dxa" w:w="17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≈11%</w:t>
            </w:r>
          </w:p>
        </w:tc>
      </w:tr>
      <w:tr>
        <w:tc>
          <w:tcPr>
            <w:tcW w:type="dxa" w:w="160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left"/>
            </w:pPr>
            <w:r>
              <w:rPr>
                <w:rFonts w:ascii="Arial" w:cs="Arial" w:eastAsia="Arial" w:hAnsi="Arial"/>
                <w:b/>
                <w:bCs/>
                <w:color w:val="000000"/>
                <w:sz w:val="19"/>
                <w:szCs w:val="19"/>
              </w:rPr>
              <w:t xml:space="preserve">PAC Ultimate</w:t>
            </w:r>
          </w:p>
        </w:tc>
        <w:tc>
          <w:tcPr>
            <w:tcW w:type="dxa" w:w="12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3TB</w:t>
            </w:r>
          </w:p>
        </w:tc>
        <w:tc>
          <w:tcPr>
            <w:tcW w:type="dxa" w:w="242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128,000,000원</w:t>
            </w:r>
          </w:p>
          <w:p>
            <w:pPr>
              <w:spacing w:after="0"/>
              <w:jc w:val="right"/>
            </w:pPr>
            <w:r>
              <w:rPr>
                <w:rFonts w:ascii="Arial" w:cs="Arial" w:eastAsia="Arial" w:hAnsi="Arial"/>
                <w:color w:val="8C8C8C"/>
                <w:sz w:val="16"/>
                <w:szCs w:val="16"/>
              </w:rPr>
              <w:t xml:space="preserve">US$102,400</w:t>
            </w:r>
          </w:p>
        </w:tc>
        <w:tc>
          <w:tcPr>
            <w:tcW w:type="dxa" w:w="234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10"/>
              <w:jc w:val="right"/>
            </w:pPr>
            <w:r>
              <w:rPr>
                <w:rFonts w:ascii="Malgun Gothic" w:cs="Malgun Gothic" w:eastAsia="Malgun Gothic" w:hAnsi="Malgun Gothic"/>
                <w:color w:val="000000"/>
                <w:sz w:val="19"/>
                <w:szCs w:val="19"/>
              </w:rPr>
              <w:t xml:space="preserve">10,660,000원</w:t>
            </w:r>
          </w:p>
          <w:p>
            <w:pPr>
              <w:spacing w:after="0"/>
              <w:jc w:val="right"/>
            </w:pPr>
            <w:r>
              <w:rPr>
                <w:rFonts w:ascii="Arial" w:cs="Arial" w:eastAsia="Arial" w:hAnsi="Arial"/>
                <w:color w:val="8C8C8C"/>
                <w:sz w:val="16"/>
                <w:szCs w:val="16"/>
              </w:rPr>
              <w:t xml:space="preserve">US$8,528</w:t>
            </w:r>
          </w:p>
        </w:tc>
        <w:tc>
          <w:tcPr>
            <w:tcW w:type="dxa" w:w="1760"/>
            <w:tcBorders>
              <w:top w:val="single" w:color="BFBFBF" w:sz="1"/>
              <w:left w:val="single" w:color="BFBFBF" w:sz="1"/>
              <w:bottom w:val="single" w:color="BFBFBF" w:sz="1"/>
              <w:right w:val="single" w:color="BFBFBF" w:sz="1"/>
            </w:tcBorders>
            <w:tcMar>
              <w:top w:type="dxa" w:w="70"/>
              <w:left w:type="dxa" w:w="110"/>
              <w:bottom w:type="dxa" w:w="70"/>
              <w:right w:type="dxa" w:w="110"/>
            </w:tcMar>
            <w:vAlign w:val="center"/>
          </w:tcPr>
          <w:p>
            <w:pPr>
              <w:spacing w:after="0"/>
              <w:jc w:val="center"/>
            </w:pPr>
            <w:r>
              <w:rPr>
                <w:rFonts w:ascii="Arial" w:cs="Arial" w:eastAsia="Arial" w:hAnsi="Arial"/>
                <w:color w:val="000000"/>
                <w:sz w:val="19"/>
                <w:szCs w:val="19"/>
              </w:rPr>
              <w:t xml:space="preserve">≈11%</w:t>
            </w:r>
          </w:p>
        </w:tc>
      </w:tr>
    </w:tbl>
    <w:p>
      <w:pPr>
        <w:spacing w:after="10" w:line="276"/>
      </w:pPr>
      <w:r>
        <w:rPr>
          <w:rFonts w:ascii="Malgun Gothic" w:cs="Malgun Gothic" w:eastAsia="Malgun Gothic" w:hAnsi="Malgun Gothic"/>
          <w:color w:val="8C8C8C"/>
          <w:sz w:val="18"/>
          <w:szCs w:val="18"/>
        </w:rPr>
        <w:t xml:space="preserve">※ 표기 금액은 원화(KRW)가 기준이며, US$ 금액은 적용환율 1 US$ = 1,250원을 적용한 참고용 환산액이다. 실제 청구·정산은 원화 기준으로 한다.</w:t>
      </w:r>
    </w:p>
    <w:p>
      <w:pPr>
        <w:spacing w:after="10" w:line="276"/>
      </w:pPr>
      <w:r>
        <w:rPr>
          <w:rFonts w:ascii="Arial" w:cs="Arial" w:eastAsia="Arial" w:hAnsi="Arial"/>
          <w:color w:val="8C8C8C"/>
          <w:sz w:val="18"/>
          <w:szCs w:val="18"/>
        </w:rPr>
        <w:t xml:space="preserve">※ The stated amounts are based on Korean Won (KRW); US$ figures are reference conversions at the applied rate of US$1 = KRW 1,250. Actual billing and settlement are made in KRW.</w:t>
      </w:r>
    </w:p>
    <w:p>
      <w:pPr>
        <w:spacing w:after="120" w:line="276"/>
      </w:pPr>
      <w:r>
        <w:rPr>
          <w:rFonts w:ascii="SimSun" w:cs="SimSun" w:eastAsia="SimSun" w:hAnsi="SimSun"/>
          <w:color w:val="8C8C8C"/>
          <w:sz w:val="18"/>
          <w:szCs w:val="18"/>
        </w:rPr>
        <w:t xml:space="preserve">※ 所列金额以韩元（KRW）为准；美元金额按适用汇率 1 美元 = 1,250 韩元换算，仅供参考。实际计费与结算以韩元为准。</w:t>
      </w:r>
    </w:p>
    <w:p>
      <w:pPr>
        <w:spacing w:after="10" w:line="276"/>
      </w:pPr>
      <w:r>
        <w:rPr>
          <w:rFonts w:ascii="Malgun Gothic" w:cs="Malgun Gothic" w:eastAsia="Malgun Gothic" w:hAnsi="Malgun Gothic"/>
          <w:color w:val="8C8C8C"/>
          <w:sz w:val="18"/>
          <w:szCs w:val="18"/>
        </w:rPr>
        <w:t xml:space="preserve">※ 부가가치세 별도/포함 여부를 명시한다. (VAT: 별도 ☐ / 포함 ☐)</w:t>
      </w:r>
    </w:p>
    <w:p>
      <w:pPr>
        <w:spacing w:after="10" w:line="276"/>
      </w:pPr>
      <w:r>
        <w:rPr>
          <w:rFonts w:ascii="Arial" w:cs="Arial" w:eastAsia="Arial" w:hAnsi="Arial"/>
          <w:color w:val="8C8C8C"/>
          <w:sz w:val="18"/>
          <w:szCs w:val="18"/>
        </w:rPr>
        <w:t xml:space="preserve">※ Specify whether VAT is excluded or included. (VAT: excluded ☐ / included ☐)</w:t>
      </w:r>
    </w:p>
    <w:p>
      <w:pPr>
        <w:spacing w:after="120" w:line="276"/>
      </w:pPr>
      <w:r>
        <w:rPr>
          <w:rFonts w:ascii="SimSun" w:cs="SimSun" w:eastAsia="SimSun" w:hAnsi="SimSun"/>
          <w:color w:val="8C8C8C"/>
          <w:sz w:val="18"/>
          <w:szCs w:val="18"/>
        </w:rPr>
        <w:t xml:space="preserve">※ 须注明增值税是否另计或含税。（增值税：另计 ☐ / 含税 ☐）</w:t>
      </w:r>
    </w:p>
    <w:p>
      <w:pPr>
        <w:spacing w:after="30" w:before="320"/>
      </w:pPr>
      <w:r>
        <w:rPr>
          <w:rFonts w:ascii="Malgun Gothic" w:cs="Malgun Gothic" w:eastAsia="Malgun Gothic" w:hAnsi="Malgun Gothic"/>
          <w:b/>
          <w:bCs/>
          <w:sz w:val="26"/>
          <w:szCs w:val="26"/>
        </w:rPr>
        <w:t xml:space="preserve">[별첨 2] 리셀러 수익·정산 조건</w:t>
      </w:r>
    </w:p>
    <w:p>
      <w:pPr>
        <w:spacing w:after="120"/>
      </w:pPr>
      <w:r>
        <w:rPr>
          <w:rFonts w:ascii="Arial" w:cs="Arial" w:eastAsia="Arial" w:hAnsi="Arial"/>
          <w:b/>
          <w:bCs/>
          <w:color w:val="1F3864"/>
          <w:sz w:val="18"/>
          <w:szCs w:val="18"/>
        </w:rPr>
        <w:t xml:space="preserve">Annex 2: Reseller Revenue &amp; Settlement Terms  /  附件2：经销商收益与结算条件</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리셀러 수익 요율 : ____________________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Reseller revenue rate: ____________________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经销商收益费率：____________________</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정산 주기 / 지급일 : ____________________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Settlement cycle / payment date: ____________________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结算周期 / 支付日：____________________</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환불 시 차감(위약) 산정식 : ____________________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Refund deduction (penalty) formula: ____________________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退款扣减（违约）计算公式：____________________</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외화 환산·원천징수·송금수수료 처리 기준 : ____________________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FX conversion / withholding / remittance-fee rules: ____________________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外币换算 / 代扣代缴 / 汇款手续费处理标准：____________________</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책임 한도(해당 시) : ____________________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Liability cap (if any): ____________________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责任上限（如有）：____________________</w:t>
      </w:r>
    </w:p>
    <w:p>
      <w:pPr>
        <w:spacing w:after="30" w:before="320"/>
      </w:pPr>
      <w:r>
        <w:rPr>
          <w:rFonts w:ascii="Malgun Gothic" w:cs="Malgun Gothic" w:eastAsia="Malgun Gothic" w:hAnsi="Malgun Gothic"/>
          <w:b/>
          <w:bCs/>
          <w:sz w:val="26"/>
          <w:szCs w:val="26"/>
        </w:rPr>
        <w:t xml:space="preserve">[별첨 3] 영업 대상 및 지역</w:t>
      </w:r>
    </w:p>
    <w:p>
      <w:pPr>
        <w:spacing w:after="120"/>
      </w:pPr>
      <w:r>
        <w:rPr>
          <w:rFonts w:ascii="Arial" w:cs="Arial" w:eastAsia="Arial" w:hAnsi="Arial"/>
          <w:b/>
          <w:bCs/>
          <w:color w:val="1F3864"/>
          <w:sz w:val="18"/>
          <w:szCs w:val="18"/>
        </w:rPr>
        <w:t xml:space="preserve">Annex 3: Sales Targets &amp; Territory  /  附件3：销售对象与地域</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영업 대상 : ____________________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Sales targets: ____________________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销售对象：____________________</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영업 지역 : ____________________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Sales territory: ____________________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销售地域：____________________</w:t>
      </w:r>
    </w:p>
    <w:p>
      <w:pPr>
        <w:pStyle w:val="ListParagraph"/>
        <w:numPr>
          <w:ilvl w:val="0"/>
          <w:numId w:val="2"/>
        </w:numPr>
        <w:spacing w:after="30" w:line="276"/>
      </w:pPr>
      <w:r>
        <w:rPr>
          <w:rFonts w:ascii="Arial" w:cs="Arial" w:eastAsia="Arial" w:hAnsi="Arial"/>
          <w:b/>
          <w:bCs/>
          <w:color w:val="8C8C8C"/>
          <w:sz w:val="14"/>
          <w:szCs w:val="14"/>
        </w:rPr>
        <w:t xml:space="preserve">KR </w:t>
      </w:r>
      <w:r>
        <w:rPr>
          <w:rFonts w:ascii="Malgun Gothic" w:cs="Malgun Gothic" w:eastAsia="Malgun Gothic" w:hAnsi="Malgun Gothic"/>
        </w:rPr>
        <w:t xml:space="preserve">독점 여부 : 비독점 ☐ / 독점 ☐ (독점 시 범위 : ______________)</w:t>
      </w:r>
    </w:p>
    <w:p>
      <w:pPr>
        <w:spacing w:after="30" w:line="276"/>
        <w:ind w:left="540"/>
      </w:pPr>
      <w:r>
        <w:rPr>
          <w:rFonts w:ascii="Arial" w:cs="Arial" w:eastAsia="Arial" w:hAnsi="Arial"/>
          <w:b/>
          <w:bCs/>
          <w:color w:val="8C8C8C"/>
          <w:sz w:val="14"/>
          <w:szCs w:val="14"/>
        </w:rPr>
        <w:t xml:space="preserve">EN </w:t>
      </w:r>
      <w:r>
        <w:rPr>
          <w:rFonts w:ascii="Arial" w:cs="Arial" w:eastAsia="Arial" w:hAnsi="Arial"/>
        </w:rPr>
        <w:t xml:space="preserve">Exclusivity: non-exclusive ☐ / exclusive ☐ (if exclusive, scope: ______________)</w:t>
      </w:r>
    </w:p>
    <w:p>
      <w:pPr>
        <w:spacing w:after="130" w:line="276"/>
        <w:ind w:left="540"/>
      </w:pPr>
      <w:r>
        <w:rPr>
          <w:rFonts w:ascii="Arial" w:cs="Arial" w:eastAsia="Arial" w:hAnsi="Arial"/>
          <w:b/>
          <w:bCs/>
          <w:color w:val="8C8C8C"/>
          <w:sz w:val="14"/>
          <w:szCs w:val="14"/>
        </w:rPr>
        <w:t xml:space="preserve">ZH </w:t>
      </w:r>
      <w:r>
        <w:rPr>
          <w:rFonts w:ascii="SimSun" w:cs="SimSun" w:eastAsia="SimSun" w:hAnsi="SimSun"/>
        </w:rPr>
        <w:t xml:space="preserve">独占与否：非独占 ☐ / 独占 ☐（独占时范围：______________）</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8C8C8C"/>
        <w:sz w:val="16"/>
        <w:szCs w:val="16"/>
      </w:rPr>
      <w:t xml:space="preserve">iPosture Pro Reseller Agreement  ·  </w:t>
    </w:r>
    <w:r>
      <w:rPr>
        <w:rFonts w:ascii="Arial" w:cs="Arial" w:eastAsia="Arial" w:hAnsi="Arial"/>
        <w:color w:val="8C8C8C"/>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cs="Malgun Gothic" w:eastAsia="Malgun Gothic" w:hAnsi="Malgun Gothic"/>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2026-06-08T10:34:48.998Z</dcterms:created>
  <dcterms:modified xsi:type="dcterms:W3CDTF">2026-06-08T10:34:49.010Z</dcterms:modified>
</cp:coreProperties>
</file>

<file path=docProps/custom.xml><?xml version="1.0" encoding="utf-8"?>
<Properties xmlns="http://schemas.openxmlformats.org/officeDocument/2006/custom-properties" xmlns:vt="http://schemas.openxmlformats.org/officeDocument/2006/docPropsVTypes"/>
</file>